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pPr>
    </w:p>
    <w:p>
      <w:pPr>
        <w:spacing w:line="360" w:lineRule="auto"/>
      </w:pPr>
      <w:r>
        <w:drawing>
          <wp:inline distT="0" distB="0" distL="0" distR="0">
            <wp:extent cx="3771900" cy="601980"/>
            <wp:effectExtent l="19050" t="0" r="0" b="0"/>
            <wp:docPr id="9" name="图片 0" descr="方圆标志全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0" descr="方圆标志全称.jpg"/>
                    <pic:cNvPicPr>
                      <a:picLocks noChangeAspect="1" noChangeArrowheads="1"/>
                    </pic:cNvPicPr>
                  </pic:nvPicPr>
                  <pic:blipFill>
                    <a:blip r:embed="rId8" cstate="print"/>
                    <a:srcRect/>
                    <a:stretch>
                      <a:fillRect/>
                    </a:stretch>
                  </pic:blipFill>
                  <pic:spPr>
                    <a:xfrm>
                      <a:off x="0" y="0"/>
                      <a:ext cx="3771900" cy="601980"/>
                    </a:xfrm>
                    <a:prstGeom prst="rect">
                      <a:avLst/>
                    </a:prstGeom>
                    <a:noFill/>
                    <a:ln w="9525">
                      <a:noFill/>
                      <a:miter lim="800000"/>
                      <a:headEnd/>
                      <a:tailEnd/>
                    </a:ln>
                  </pic:spPr>
                </pic:pic>
              </a:graphicData>
            </a:graphic>
          </wp:inline>
        </w:drawing>
      </w:r>
    </w:p>
    <w:p>
      <w:pPr>
        <w:spacing w:line="360" w:lineRule="auto"/>
      </w:pPr>
    </w:p>
    <w:p>
      <w:pPr>
        <w:spacing w:line="360" w:lineRule="auto"/>
      </w:pPr>
    </w:p>
    <w:p>
      <w:pPr>
        <w:spacing w:line="360" w:lineRule="auto"/>
      </w:pPr>
    </w:p>
    <w:p>
      <w:pPr>
        <w:spacing w:line="360" w:lineRule="auto"/>
        <w:rPr>
          <w:rFonts w:ascii="黑体" w:hAnsi="宋体" w:eastAsia="黑体"/>
          <w:szCs w:val="21"/>
        </w:rPr>
      </w:pPr>
      <w:bookmarkStart w:id="13" w:name="_GoBack"/>
      <w:bookmarkEnd w:id="13"/>
      <w:r>
        <w:pict>
          <v:shape id="Text Box 4" o:spid="_x0000_s1026" o:spt="202" type="#_x0000_t202" style="position:absolute;left:0pt;margin-left:35.4pt;margin-top:19.45pt;height:79.95pt;width:377.6pt;z-index:251659264;mso-width-relative:page;mso-height-relative:page;" fillcolor="#C0C0C0"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">
            <v:path/>
            <v:fill on="t" color2="#FFFFFF" opacity="26214f" focussize="0,0"/>
            <v:stroke on="f"/>
            <v:imagedata o:title=""/>
            <o:lock v:ext="edit" aspectratio="f"/>
            <v:textbox inset="0mm,4mm,0mm,2.3mm">
              <w:txbxContent>
                <w:p>
                  <w:pPr>
                    <w:autoSpaceDE w:val="0"/>
                    <w:autoSpaceDN w:val="0"/>
                    <w:spacing w:line="0" w:lineRule="atLeast"/>
                    <w:jc w:val="center"/>
                    <w:rPr>
                      <w:sz w:val="52"/>
                      <w:szCs w:val="52"/>
                    </w:rPr>
                  </w:pPr>
                  <w:bookmarkStart w:id="12" w:name="_Toc439928975"/>
                  <w:r>
                    <w:rPr>
                      <w:rFonts w:hint="eastAsia" w:eastAsia="黑体"/>
                      <w:sz w:val="52"/>
                      <w:szCs w:val="52"/>
                    </w:rPr>
                    <w:t>企业诚信管理体系认证收费管理规则</w:t>
                  </w:r>
                  <w:bookmarkEnd w:id="12"/>
                </w:p>
              </w:txbxContent>
            </v:textbox>
          </v:shape>
        </w:pict>
      </w:r>
    </w:p>
    <w:p>
      <w:pPr>
        <w:spacing w:line="360" w:lineRule="auto"/>
        <w:rPr>
          <w:rFonts w:ascii="黑体" w:hAnsi="宋体" w:eastAsia="黑体"/>
          <w:szCs w:val="21"/>
        </w:rPr>
      </w:pPr>
    </w:p>
    <w:p>
      <w:pPr>
        <w:spacing w:line="360" w:lineRule="auto"/>
        <w:rPr>
          <w:rFonts w:ascii="黑体" w:hAnsi="宋体" w:eastAsia="黑体"/>
          <w:szCs w:val="21"/>
        </w:rPr>
      </w:pPr>
    </w:p>
    <w:p>
      <w:pPr>
        <w:spacing w:line="360" w:lineRule="auto"/>
        <w:rPr>
          <w:rFonts w:ascii="黑体" w:hAnsi="宋体" w:eastAsia="黑体"/>
          <w:szCs w:val="21"/>
        </w:rPr>
      </w:pPr>
    </w:p>
    <w:p>
      <w:pPr>
        <w:spacing w:line="360" w:lineRule="auto"/>
        <w:rPr>
          <w:rFonts w:ascii="黑体" w:hAnsi="宋体" w:eastAsia="黑体"/>
          <w:szCs w:val="21"/>
        </w:rPr>
      </w:pPr>
    </w:p>
    <w:tbl>
      <w:tblPr>
        <w:tblStyle w:val="16"/>
        <w:tblpPr w:leftFromText="180" w:rightFromText="180" w:vertAnchor="page" w:horzAnchor="page" w:tblpX="3268" w:tblpY="7591"/>
        <w:tblW w:w="0" w:type="auto"/>
        <w:tblInd w:w="0" w:type="dxa"/>
        <w:tblLayout w:type="autofit"/>
        <w:tblCellMar>
          <w:top w:w="0" w:type="dxa"/>
          <w:left w:w="108" w:type="dxa"/>
          <w:bottom w:w="0" w:type="dxa"/>
          <w:right w:w="108" w:type="dxa"/>
        </w:tblCellMar>
      </w:tblPr>
      <w:tblGrid>
        <w:gridCol w:w="1846"/>
        <w:gridCol w:w="4249"/>
      </w:tblGrid>
      <w:tr>
        <w:tblPrEx>
          <w:tblCellMar>
            <w:top w:w="0" w:type="dxa"/>
            <w:left w:w="108" w:type="dxa"/>
            <w:bottom w:w="0" w:type="dxa"/>
            <w:right w:w="108" w:type="dxa"/>
          </w:tblCellMar>
        </w:tblPrEx>
        <w:trPr>
          <w:trHeight w:val="135" w:hRule="atLeast"/>
        </w:trPr>
        <w:tc>
          <w:tcPr>
            <w:tcW w:w="1846" w:type="dxa"/>
            <w:vAlign w:val="center"/>
          </w:tcPr>
          <w:p>
            <w:pPr>
              <w:rPr>
                <w:rFonts w:ascii="Arial" w:hAnsi="Arial" w:eastAsia="隶书" w:cs="Arial"/>
                <w:sz w:val="30"/>
              </w:rPr>
            </w:pPr>
            <w:r>
              <w:rPr>
                <w:rFonts w:ascii="Arial" w:hAnsi="Arial" w:eastAsia="隶书" w:cs="Arial"/>
                <w:sz w:val="30"/>
              </w:rPr>
              <w:t>文件编号：</w:t>
            </w:r>
          </w:p>
        </w:tc>
        <w:tc>
          <w:tcPr>
            <w:tcW w:w="4249" w:type="dxa"/>
            <w:vAlign w:val="center"/>
          </w:tcPr>
          <w:p>
            <w:pPr>
              <w:rPr>
                <w:rFonts w:ascii="Arial Unicode MS" w:hAnsi="Arial Unicode MS" w:eastAsia="仿宋_GB2312" w:cs="Arial Unicode MS"/>
                <w:sz w:val="28"/>
                <w:szCs w:val="28"/>
              </w:rPr>
            </w:pPr>
            <w:r>
              <w:rPr>
                <w:rFonts w:eastAsia="仿宋_GB2312"/>
                <w:sz w:val="28"/>
                <w:szCs w:val="15"/>
              </w:rPr>
              <w:t>CQM/S-GK-003</w:t>
            </w:r>
            <w:r>
              <w:rPr>
                <w:rFonts w:hint="eastAsia" w:eastAsia="仿宋_GB2312"/>
                <w:sz w:val="28"/>
                <w:szCs w:val="15"/>
              </w:rPr>
              <w:t>-（</w:t>
            </w:r>
            <w:r>
              <w:rPr>
                <w:rFonts w:hint="eastAsia" w:eastAsia="仿宋_GB2312"/>
                <w:sz w:val="28"/>
                <w:szCs w:val="15"/>
                <w:lang w:val="en-US" w:eastAsia="zh-CN"/>
              </w:rPr>
              <w:t>10</w:t>
            </w:r>
            <w:r>
              <w:rPr>
                <w:rFonts w:hint="eastAsia" w:eastAsia="仿宋_GB2312"/>
                <w:sz w:val="28"/>
                <w:szCs w:val="15"/>
              </w:rPr>
              <w:t>）</w:t>
            </w:r>
          </w:p>
        </w:tc>
      </w:tr>
      <w:tr>
        <w:tblPrEx>
          <w:tblCellMar>
            <w:top w:w="0" w:type="dxa"/>
            <w:left w:w="108" w:type="dxa"/>
            <w:bottom w:w="0" w:type="dxa"/>
            <w:right w:w="108" w:type="dxa"/>
          </w:tblCellMar>
        </w:tblPrEx>
        <w:trPr>
          <w:trHeight w:val="135" w:hRule="atLeast"/>
        </w:trPr>
        <w:tc>
          <w:tcPr>
            <w:tcW w:w="1846" w:type="dxa"/>
            <w:vAlign w:val="center"/>
          </w:tcPr>
          <w:p>
            <w:pPr>
              <w:rPr>
                <w:rFonts w:ascii="Arial" w:hAnsi="Arial" w:eastAsia="隶书" w:cs="Arial"/>
                <w:sz w:val="30"/>
              </w:rPr>
            </w:pPr>
            <w:r>
              <w:rPr>
                <w:rFonts w:ascii="Arial" w:hAnsi="Arial" w:eastAsia="隶书" w:cs="Arial"/>
                <w:sz w:val="30"/>
              </w:rPr>
              <w:t>发布日期：</w:t>
            </w:r>
          </w:p>
        </w:tc>
        <w:tc>
          <w:tcPr>
            <w:tcW w:w="4249" w:type="dxa"/>
            <w:vAlign w:val="center"/>
          </w:tcPr>
          <w:p>
            <w:pPr>
              <w:rPr>
                <w:rFonts w:eastAsia="仿宋_GB2312"/>
                <w:sz w:val="28"/>
              </w:rPr>
            </w:pPr>
            <w:r>
              <w:rPr>
                <w:rFonts w:hint="eastAsia" w:eastAsia="仿宋_GB2312"/>
                <w:sz w:val="28"/>
                <w:szCs w:val="15"/>
              </w:rPr>
              <w:t>2021</w:t>
            </w:r>
            <w:r>
              <w:rPr>
                <w:rFonts w:eastAsia="仿宋_GB2312"/>
                <w:sz w:val="28"/>
                <w:szCs w:val="15"/>
              </w:rPr>
              <w:t>年</w:t>
            </w:r>
            <w:r>
              <w:rPr>
                <w:rFonts w:hint="eastAsia" w:eastAsia="仿宋_GB2312"/>
                <w:sz w:val="28"/>
                <w:szCs w:val="15"/>
              </w:rPr>
              <w:t>0</w:t>
            </w:r>
            <w:r>
              <w:rPr>
                <w:rFonts w:hint="eastAsia" w:eastAsia="仿宋_GB2312"/>
                <w:sz w:val="28"/>
                <w:szCs w:val="15"/>
                <w:lang w:val="en-US" w:eastAsia="zh-CN"/>
              </w:rPr>
              <w:t>6</w:t>
            </w:r>
            <w:r>
              <w:rPr>
                <w:rFonts w:eastAsia="仿宋_GB2312"/>
                <w:sz w:val="28"/>
                <w:szCs w:val="15"/>
              </w:rPr>
              <w:t>月</w:t>
            </w:r>
            <w:r>
              <w:rPr>
                <w:rFonts w:hint="eastAsia" w:eastAsia="仿宋_GB2312"/>
                <w:sz w:val="28"/>
                <w:szCs w:val="15"/>
                <w:lang w:val="en-US" w:eastAsia="zh-CN"/>
              </w:rPr>
              <w:t>0</w:t>
            </w:r>
            <w:r>
              <w:rPr>
                <w:rFonts w:hint="eastAsia" w:eastAsia="仿宋_GB2312"/>
                <w:sz w:val="28"/>
                <w:szCs w:val="15"/>
              </w:rPr>
              <w:t>2</w:t>
            </w:r>
            <w:r>
              <w:rPr>
                <w:rFonts w:eastAsia="仿宋_GB2312"/>
                <w:sz w:val="28"/>
                <w:szCs w:val="15"/>
              </w:rPr>
              <w:t>日</w:t>
            </w:r>
          </w:p>
        </w:tc>
      </w:tr>
      <w:tr>
        <w:tblPrEx>
          <w:tblCellMar>
            <w:top w:w="0" w:type="dxa"/>
            <w:left w:w="108" w:type="dxa"/>
            <w:bottom w:w="0" w:type="dxa"/>
            <w:right w:w="108" w:type="dxa"/>
          </w:tblCellMar>
        </w:tblPrEx>
        <w:trPr>
          <w:trHeight w:val="135" w:hRule="atLeast"/>
        </w:trPr>
        <w:tc>
          <w:tcPr>
            <w:tcW w:w="1846" w:type="dxa"/>
            <w:vAlign w:val="center"/>
          </w:tcPr>
          <w:p>
            <w:pPr>
              <w:rPr>
                <w:rFonts w:ascii="Arial" w:hAnsi="Arial" w:eastAsia="隶书" w:cs="Arial"/>
                <w:color w:val="000000"/>
                <w:sz w:val="30"/>
              </w:rPr>
            </w:pPr>
            <w:r>
              <w:rPr>
                <w:rFonts w:hint="eastAsia" w:ascii="Arial" w:hAnsi="Arial" w:eastAsia="隶书" w:cs="Arial"/>
                <w:color w:val="000000"/>
                <w:sz w:val="30"/>
              </w:rPr>
              <w:t>修订日期：</w:t>
            </w:r>
          </w:p>
        </w:tc>
        <w:tc>
          <w:tcPr>
            <w:tcW w:w="4249" w:type="dxa"/>
            <w:vAlign w:val="center"/>
          </w:tcPr>
          <w:p>
            <w:pPr>
              <w:rPr>
                <w:rFonts w:eastAsia="仿宋_GB2312"/>
                <w:color w:val="000000"/>
                <w:sz w:val="28"/>
                <w:szCs w:val="15"/>
              </w:rPr>
            </w:pPr>
          </w:p>
        </w:tc>
      </w:tr>
      <w:tr>
        <w:tblPrEx>
          <w:tblCellMar>
            <w:top w:w="0" w:type="dxa"/>
            <w:left w:w="108" w:type="dxa"/>
            <w:bottom w:w="0" w:type="dxa"/>
            <w:right w:w="108" w:type="dxa"/>
          </w:tblCellMar>
        </w:tblPrEx>
        <w:trPr>
          <w:trHeight w:val="135" w:hRule="atLeast"/>
        </w:trPr>
        <w:tc>
          <w:tcPr>
            <w:tcW w:w="1846" w:type="dxa"/>
            <w:vAlign w:val="center"/>
          </w:tcPr>
          <w:p>
            <w:pPr>
              <w:rPr>
                <w:rFonts w:ascii="Arial" w:hAnsi="Arial" w:eastAsia="隶书" w:cs="Arial"/>
                <w:sz w:val="30"/>
              </w:rPr>
            </w:pPr>
            <w:r>
              <w:rPr>
                <w:rFonts w:ascii="Arial" w:hAnsi="Arial" w:eastAsia="隶书" w:cs="Arial"/>
                <w:sz w:val="30"/>
              </w:rPr>
              <w:t>实施日期：</w:t>
            </w:r>
          </w:p>
        </w:tc>
        <w:tc>
          <w:tcPr>
            <w:tcW w:w="4249" w:type="dxa"/>
            <w:vAlign w:val="center"/>
          </w:tcPr>
          <w:p>
            <w:pPr>
              <w:rPr>
                <w:rFonts w:eastAsia="仿宋_GB2312"/>
                <w:sz w:val="28"/>
              </w:rPr>
            </w:pPr>
            <w:r>
              <w:rPr>
                <w:rFonts w:hint="eastAsia" w:eastAsia="仿宋_GB2312"/>
                <w:sz w:val="28"/>
                <w:szCs w:val="15"/>
              </w:rPr>
              <w:t>2021</w:t>
            </w:r>
            <w:r>
              <w:rPr>
                <w:rFonts w:eastAsia="仿宋_GB2312"/>
                <w:sz w:val="28"/>
                <w:szCs w:val="15"/>
              </w:rPr>
              <w:t>年</w:t>
            </w:r>
            <w:r>
              <w:rPr>
                <w:rFonts w:hint="eastAsia" w:eastAsia="仿宋_GB2312"/>
                <w:sz w:val="28"/>
                <w:szCs w:val="15"/>
              </w:rPr>
              <w:t>0</w:t>
            </w:r>
            <w:r>
              <w:rPr>
                <w:rFonts w:hint="eastAsia" w:eastAsia="仿宋_GB2312"/>
                <w:sz w:val="28"/>
                <w:szCs w:val="15"/>
                <w:lang w:val="en-US" w:eastAsia="zh-CN"/>
              </w:rPr>
              <w:t>6</w:t>
            </w:r>
            <w:r>
              <w:rPr>
                <w:rFonts w:eastAsia="仿宋_GB2312"/>
                <w:sz w:val="28"/>
                <w:szCs w:val="15"/>
              </w:rPr>
              <w:t>月</w:t>
            </w:r>
            <w:r>
              <w:rPr>
                <w:rFonts w:hint="eastAsia" w:eastAsia="仿宋_GB2312"/>
                <w:sz w:val="28"/>
                <w:szCs w:val="15"/>
                <w:lang w:val="en-US" w:eastAsia="zh-CN"/>
              </w:rPr>
              <w:t>0</w:t>
            </w:r>
            <w:r>
              <w:rPr>
                <w:rFonts w:hint="eastAsia" w:eastAsia="仿宋_GB2312"/>
                <w:sz w:val="28"/>
                <w:szCs w:val="15"/>
              </w:rPr>
              <w:t>2</w:t>
            </w:r>
            <w:r>
              <w:rPr>
                <w:rFonts w:eastAsia="仿宋_GB2312"/>
                <w:sz w:val="28"/>
                <w:szCs w:val="15"/>
              </w:rPr>
              <w:t>日</w:t>
            </w:r>
          </w:p>
        </w:tc>
      </w:tr>
    </w:tbl>
    <w:p>
      <w:pPr>
        <w:spacing w:line="360" w:lineRule="auto"/>
        <w:rPr>
          <w:rFonts w:ascii="黑体" w:hAnsi="宋体" w:eastAsia="黑体"/>
          <w:szCs w:val="21"/>
        </w:rPr>
      </w:pPr>
    </w:p>
    <w:p>
      <w:pPr>
        <w:spacing w:line="360" w:lineRule="auto"/>
        <w:rPr>
          <w:rFonts w:ascii="黑体" w:hAnsi="宋体" w:eastAsia="黑体"/>
          <w:szCs w:val="21"/>
        </w:rPr>
      </w:pPr>
    </w:p>
    <w:p>
      <w:pPr>
        <w:spacing w:line="360" w:lineRule="auto"/>
        <w:rPr>
          <w:rFonts w:ascii="黑体" w:hAnsi="宋体" w:eastAsia="黑体"/>
          <w:szCs w:val="21"/>
        </w:rPr>
      </w:pPr>
    </w:p>
    <w:p>
      <w:pPr>
        <w:spacing w:line="360" w:lineRule="auto"/>
        <w:rPr>
          <w:rFonts w:ascii="黑体" w:hAnsi="宋体" w:eastAsia="黑体"/>
          <w:szCs w:val="21"/>
        </w:rPr>
      </w:pPr>
    </w:p>
    <w:p>
      <w:pPr>
        <w:spacing w:line="360" w:lineRule="auto"/>
        <w:rPr>
          <w:rFonts w:eastAsia="方正姚体"/>
          <w:sz w:val="32"/>
        </w:rPr>
      </w:pPr>
    </w:p>
    <w:p/>
    <w:p/>
    <w:p/>
    <w:p/>
    <w:p/>
    <w:p/>
    <w:p/>
    <w:p/>
    <w:p/>
    <w:p/>
    <w:p/>
    <w:p>
      <w:r>
        <w:rPr>
          <w:rFonts w:hint="eastAsia"/>
        </w:rPr>
        <w:drawing>
          <wp:anchor distT="0" distB="0" distL="114300" distR="114300" simplePos="0" relativeHeight="251660288" behindDoc="0" locked="0" layoutInCell="1" allowOverlap="1">
            <wp:simplePos x="0" y="0"/>
            <wp:positionH relativeFrom="column">
              <wp:posOffset>-1161415</wp:posOffset>
            </wp:positionH>
            <wp:positionV relativeFrom="paragraph">
              <wp:posOffset>56515</wp:posOffset>
            </wp:positionV>
            <wp:extent cx="3893185" cy="2838450"/>
            <wp:effectExtent l="19050" t="0" r="0" b="0"/>
            <wp:wrapNone/>
            <wp:docPr id="3" name="图片 0" descr="791798467DFB4DCAB07D0134B56CF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791798467DFB4DCAB07D0134B56CF23C.jpg"/>
                    <pic:cNvPicPr>
                      <a:picLocks noChangeAspect="1"/>
                    </pic:cNvPicPr>
                  </pic:nvPicPr>
                  <pic:blipFill>
                    <a:blip r:embed="rId9" cstate="print"/>
                    <a:stretch>
                      <a:fillRect/>
                    </a:stretch>
                  </pic:blipFill>
                  <pic:spPr>
                    <a:xfrm>
                      <a:off x="0" y="0"/>
                      <a:ext cx="3892992" cy="2838615"/>
                    </a:xfrm>
                    <a:prstGeom prst="rect">
                      <a:avLst/>
                    </a:prstGeom>
                  </pic:spPr>
                </pic:pic>
              </a:graphicData>
            </a:graphic>
          </wp:anchor>
        </w:drawing>
      </w:r>
    </w:p>
    <w:p/>
    <w:p/>
    <w:p/>
    <w:p/>
    <w:p/>
    <w:p/>
    <w:p/>
    <w:p/>
    <w:p>
      <w:pPr>
        <w:ind w:firstLine="602" w:firstLineChars="200"/>
        <w:jc w:val="center"/>
        <w:rPr>
          <w:b/>
          <w:bCs/>
          <w:sz w:val="30"/>
        </w:rPr>
      </w:pPr>
      <w:r>
        <w:rPr>
          <w:rFonts w:hint="eastAsia"/>
          <w:b/>
          <w:bCs/>
          <w:sz w:val="30"/>
        </w:rPr>
        <w:t>目录</w:t>
      </w:r>
    </w:p>
    <w:p>
      <w:pPr>
        <w:ind w:firstLine="602" w:firstLineChars="200"/>
        <w:jc w:val="center"/>
        <w:rPr>
          <w:b/>
          <w:bCs/>
          <w:sz w:val="30"/>
        </w:rPr>
      </w:pPr>
    </w:p>
    <w:p>
      <w:pPr>
        <w:pStyle w:val="12"/>
        <w:tabs>
          <w:tab w:val="right" w:leader="dot" w:pos="8302"/>
        </w:tabs>
        <w:rPr>
          <w:kern w:val="2"/>
          <w:sz w:val="21"/>
        </w:rPr>
      </w:pPr>
      <w:r>
        <w:fldChar w:fldCharType="begin"/>
      </w:r>
      <w:r>
        <w:instrText xml:space="preserve"> TOC \h \z \t "标题 1,1"</w:instrText>
      </w:r>
      <w:r>
        <w:fldChar w:fldCharType="separate"/>
      </w:r>
      <w:r>
        <w:fldChar w:fldCharType="begin"/>
      </w:r>
      <w:r>
        <w:instrText xml:space="preserve"> HYPERLINK \l "_Toc50730307" </w:instrText>
      </w:r>
      <w:r>
        <w:fldChar w:fldCharType="separate"/>
      </w:r>
      <w:r>
        <w:rPr>
          <w:rStyle w:val="20"/>
        </w:rPr>
        <w:t>1.</w:t>
      </w:r>
      <w:r>
        <w:rPr>
          <w:rStyle w:val="20"/>
          <w:rFonts w:hint="eastAsia"/>
        </w:rPr>
        <w:t>目的与使用范围</w:t>
      </w:r>
      <w:r>
        <w:tab/>
      </w:r>
      <w:r>
        <w:fldChar w:fldCharType="begin"/>
      </w:r>
      <w:r>
        <w:instrText xml:space="preserve"> PAGEREF _Toc50730307 \h </w:instrText>
      </w:r>
      <w:r>
        <w:fldChar w:fldCharType="separate"/>
      </w:r>
      <w:r>
        <w:t>2</w:t>
      </w:r>
      <w:r>
        <w:fldChar w:fldCharType="end"/>
      </w:r>
      <w:r>
        <w:fldChar w:fldCharType="end"/>
      </w:r>
    </w:p>
    <w:p>
      <w:pPr>
        <w:pStyle w:val="12"/>
        <w:tabs>
          <w:tab w:val="right" w:leader="dot" w:pos="8302"/>
        </w:tabs>
        <w:rPr>
          <w:kern w:val="2"/>
          <w:sz w:val="21"/>
        </w:rPr>
      </w:pPr>
      <w:r>
        <w:fldChar w:fldCharType="begin"/>
      </w:r>
      <w:r>
        <w:instrText xml:space="preserve"> HYPERLINK \l "_Toc50730308" </w:instrText>
      </w:r>
      <w:r>
        <w:fldChar w:fldCharType="separate"/>
      </w:r>
      <w:r>
        <w:rPr>
          <w:rStyle w:val="20"/>
        </w:rPr>
        <w:t>2.</w:t>
      </w:r>
      <w:r>
        <w:rPr>
          <w:rStyle w:val="20"/>
          <w:rFonts w:hint="eastAsia"/>
        </w:rPr>
        <w:t>基本原则</w:t>
      </w:r>
      <w:r>
        <w:tab/>
      </w:r>
      <w:r>
        <w:fldChar w:fldCharType="begin"/>
      </w:r>
      <w:r>
        <w:instrText xml:space="preserve"> PAGEREF _Toc50730308 \h </w:instrText>
      </w:r>
      <w:r>
        <w:fldChar w:fldCharType="separate"/>
      </w:r>
      <w:r>
        <w:t>2</w:t>
      </w:r>
      <w:r>
        <w:fldChar w:fldCharType="end"/>
      </w:r>
      <w:r>
        <w:fldChar w:fldCharType="end"/>
      </w:r>
    </w:p>
    <w:p>
      <w:pPr>
        <w:pStyle w:val="12"/>
        <w:tabs>
          <w:tab w:val="right" w:leader="dot" w:pos="8302"/>
        </w:tabs>
        <w:rPr>
          <w:kern w:val="2"/>
          <w:sz w:val="21"/>
        </w:rPr>
      </w:pPr>
      <w:r>
        <w:fldChar w:fldCharType="begin"/>
      </w:r>
      <w:r>
        <w:instrText xml:space="preserve"> HYPERLINK \l "_Toc50730309" </w:instrText>
      </w:r>
      <w:r>
        <w:fldChar w:fldCharType="separate"/>
      </w:r>
      <w:r>
        <w:rPr>
          <w:rStyle w:val="20"/>
        </w:rPr>
        <w:t>3.</w:t>
      </w:r>
      <w:r>
        <w:rPr>
          <w:rStyle w:val="20"/>
          <w:rFonts w:hint="eastAsia"/>
        </w:rPr>
        <w:t>收费项目与标准</w:t>
      </w:r>
      <w:r>
        <w:tab/>
      </w:r>
      <w:r>
        <w:fldChar w:fldCharType="begin"/>
      </w:r>
      <w:r>
        <w:instrText xml:space="preserve"> PAGEREF _Toc50730309 \h </w:instrText>
      </w:r>
      <w:r>
        <w:fldChar w:fldCharType="separate"/>
      </w:r>
      <w:r>
        <w:t>2</w:t>
      </w:r>
      <w:r>
        <w:fldChar w:fldCharType="end"/>
      </w:r>
      <w:r>
        <w:fldChar w:fldCharType="end"/>
      </w:r>
    </w:p>
    <w:p>
      <w:pPr>
        <w:pStyle w:val="12"/>
        <w:tabs>
          <w:tab w:val="right" w:leader="dot" w:pos="8302"/>
        </w:tabs>
        <w:rPr>
          <w:kern w:val="2"/>
          <w:sz w:val="21"/>
        </w:rPr>
      </w:pPr>
      <w:r>
        <w:fldChar w:fldCharType="begin"/>
      </w:r>
      <w:r>
        <w:instrText xml:space="preserve"> HYPERLINK \l "_Toc50730310" </w:instrText>
      </w:r>
      <w:r>
        <w:fldChar w:fldCharType="separate"/>
      </w:r>
      <w:r>
        <w:rPr>
          <w:rStyle w:val="20"/>
        </w:rPr>
        <w:t>4.</w:t>
      </w:r>
      <w:r>
        <w:rPr>
          <w:rStyle w:val="20"/>
          <w:rFonts w:hint="eastAsia"/>
        </w:rPr>
        <w:t>收费方法</w:t>
      </w:r>
      <w:r>
        <w:tab/>
      </w:r>
      <w:r>
        <w:fldChar w:fldCharType="begin"/>
      </w:r>
      <w:r>
        <w:instrText xml:space="preserve"> PAGEREF _Toc50730310 \h </w:instrText>
      </w:r>
      <w:r>
        <w:fldChar w:fldCharType="separate"/>
      </w:r>
      <w:r>
        <w:t>3</w:t>
      </w:r>
      <w:r>
        <w:fldChar w:fldCharType="end"/>
      </w:r>
      <w:r>
        <w:fldChar w:fldCharType="end"/>
      </w:r>
    </w:p>
    <w:p>
      <w:pPr>
        <w:pStyle w:val="12"/>
        <w:tabs>
          <w:tab w:val="right" w:leader="dot" w:pos="8302"/>
        </w:tabs>
        <w:rPr>
          <w:kern w:val="2"/>
          <w:sz w:val="21"/>
        </w:rPr>
      </w:pPr>
      <w:r>
        <w:fldChar w:fldCharType="begin"/>
      </w:r>
      <w:r>
        <w:instrText xml:space="preserve"> HYPERLINK \l "_Toc50730311" </w:instrText>
      </w:r>
      <w:r>
        <w:fldChar w:fldCharType="separate"/>
      </w:r>
      <w:r>
        <w:rPr>
          <w:rStyle w:val="20"/>
        </w:rPr>
        <w:t>5.</w:t>
      </w:r>
      <w:r>
        <w:rPr>
          <w:rStyle w:val="20"/>
          <w:rFonts w:hint="eastAsia"/>
        </w:rPr>
        <w:t>审核人日数核算方法</w:t>
      </w:r>
      <w:r>
        <w:tab/>
      </w:r>
      <w:r>
        <w:fldChar w:fldCharType="begin"/>
      </w:r>
      <w:r>
        <w:instrText xml:space="preserve"> PAGEREF _Toc50730311 \h </w:instrText>
      </w:r>
      <w:r>
        <w:fldChar w:fldCharType="separate"/>
      </w:r>
      <w:r>
        <w:t>3</w:t>
      </w:r>
      <w:r>
        <w:fldChar w:fldCharType="end"/>
      </w:r>
      <w:r>
        <w:fldChar w:fldCharType="end"/>
      </w:r>
    </w:p>
    <w:p>
      <w:pPr>
        <w:pStyle w:val="24"/>
        <w:spacing w:line="360" w:lineRule="auto"/>
      </w:pPr>
      <w:r>
        <w:fldChar w:fldCharType="end"/>
      </w: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autoSpaceDE w:val="0"/>
        <w:autoSpaceDN w:val="0"/>
        <w:spacing w:line="0" w:lineRule="atLeast"/>
        <w:jc w:val="center"/>
        <w:rPr>
          <w:rFonts w:ascii="黑体" w:eastAsia="黑体"/>
          <w:sz w:val="36"/>
          <w:szCs w:val="36"/>
        </w:rPr>
      </w:pPr>
      <w:r>
        <w:rPr>
          <w:rFonts w:hint="eastAsia" w:ascii="黑体" w:eastAsia="黑体"/>
          <w:sz w:val="36"/>
          <w:szCs w:val="36"/>
        </w:rPr>
        <w:t>企业诚信管理体系认证收费管理规则</w:t>
      </w:r>
    </w:p>
    <w:p>
      <w:pPr>
        <w:autoSpaceDE w:val="0"/>
        <w:autoSpaceDN w:val="0"/>
        <w:spacing w:line="0" w:lineRule="atLeast"/>
        <w:jc w:val="center"/>
        <w:rPr>
          <w:rFonts w:ascii="黑体" w:eastAsia="黑体"/>
          <w:sz w:val="36"/>
          <w:szCs w:val="36"/>
        </w:rPr>
      </w:pPr>
    </w:p>
    <w:p>
      <w:pPr>
        <w:pStyle w:val="2"/>
      </w:pPr>
      <w:bookmarkStart w:id="0" w:name="_Toc452364113"/>
      <w:bookmarkStart w:id="1" w:name="_Toc50730307"/>
      <w:r>
        <w:rPr>
          <w:rFonts w:hint="eastAsia"/>
        </w:rPr>
        <w:t>1.</w:t>
      </w:r>
      <w:r>
        <w:t>目的与使用范围</w:t>
      </w:r>
      <w:bookmarkEnd w:id="0"/>
      <w:bookmarkEnd w:id="1"/>
    </w:p>
    <w:p>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为加强对认证组织认证收费的管理，规范认证收费行为，保护认证双方的利益，促进认证工作的发展，特制订本规则。</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本规则适用于方圆标志认证集团所开展的企业诚信管理体系认证</w:t>
      </w:r>
      <w:r>
        <w:rPr>
          <w:rFonts w:asciiTheme="minorEastAsia" w:hAnsiTheme="minorEastAsia" w:eastAsiaTheme="minorEastAsia"/>
          <w:sz w:val="24"/>
        </w:rPr>
        <w:t>服务收费。</w:t>
      </w:r>
    </w:p>
    <w:p>
      <w:pPr>
        <w:spacing w:line="360" w:lineRule="auto"/>
        <w:ind w:firstLine="480" w:firstLineChars="200"/>
        <w:rPr>
          <w:rFonts w:asciiTheme="minorEastAsia" w:hAnsiTheme="minorEastAsia" w:eastAsiaTheme="minorEastAsia"/>
          <w:sz w:val="24"/>
        </w:rPr>
      </w:pPr>
    </w:p>
    <w:p>
      <w:pPr>
        <w:pStyle w:val="2"/>
      </w:pPr>
      <w:bookmarkStart w:id="2" w:name="_Toc50730308"/>
      <w:bookmarkStart w:id="3" w:name="_Toc452364114"/>
      <w:r>
        <w:rPr>
          <w:rFonts w:hint="eastAsia"/>
        </w:rPr>
        <w:t>2.</w:t>
      </w:r>
      <w:r>
        <w:t>基本原则</w:t>
      </w:r>
      <w:bookmarkEnd w:id="2"/>
      <w:bookmarkEnd w:id="3"/>
    </w:p>
    <w:p>
      <w:pPr>
        <w:spacing w:line="360" w:lineRule="auto"/>
        <w:ind w:firstLine="480" w:firstLineChars="200"/>
        <w:rPr>
          <w:rFonts w:asciiTheme="minorEastAsia" w:hAnsiTheme="minorEastAsia" w:eastAsiaTheme="minorEastAsia"/>
          <w:i/>
          <w:iCs/>
          <w:sz w:val="24"/>
        </w:rPr>
      </w:pPr>
      <w:r>
        <w:rPr>
          <w:rFonts w:hint="eastAsia" w:asciiTheme="minorEastAsia" w:hAnsiTheme="minorEastAsia" w:eastAsiaTheme="minorEastAsia"/>
          <w:sz w:val="24"/>
        </w:rPr>
        <w:t>收费项目和标准按照国家有关主管部门的规定制订。</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认证审核的工作量（人日数）根据申请认证组织的规模、认证领域数量和专业特性等按国际准则及国家主管部门有关要求确定。</w:t>
      </w:r>
    </w:p>
    <w:p>
      <w:pPr>
        <w:spacing w:line="360" w:lineRule="auto"/>
        <w:ind w:firstLine="480" w:firstLineChars="200"/>
        <w:rPr>
          <w:rFonts w:asciiTheme="minorEastAsia" w:hAnsiTheme="minorEastAsia" w:eastAsiaTheme="minorEastAsia"/>
          <w:sz w:val="24"/>
        </w:rPr>
      </w:pPr>
    </w:p>
    <w:p>
      <w:pPr>
        <w:pStyle w:val="2"/>
      </w:pPr>
      <w:bookmarkStart w:id="4" w:name="_Toc452364115"/>
      <w:bookmarkStart w:id="5" w:name="_Toc50730309"/>
      <w:r>
        <w:rPr>
          <w:rFonts w:hint="eastAsia"/>
        </w:rPr>
        <w:t>3.</w:t>
      </w:r>
      <w:r>
        <w:t>收费项目与标准</w:t>
      </w:r>
      <w:bookmarkEnd w:id="4"/>
      <w:bookmarkEnd w:id="5"/>
    </w:p>
    <w:p>
      <w:pPr>
        <w:pStyle w:val="5"/>
      </w:pPr>
      <w:bookmarkStart w:id="6" w:name="_Toc452364116"/>
      <w:r>
        <w:rPr>
          <w:rFonts w:hint="eastAsia"/>
        </w:rPr>
        <w:t xml:space="preserve">3.1  </w:t>
      </w:r>
      <w:r>
        <w:t>认证收费项目</w:t>
      </w:r>
      <w:bookmarkEnd w:id="6"/>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a) 申请费：初次认证、</w:t>
      </w:r>
      <w:r>
        <w:rPr>
          <w:rFonts w:hint="eastAsia" w:asciiTheme="minorEastAsia" w:hAnsiTheme="minorEastAsia" w:eastAsiaTheme="minorEastAsia"/>
          <w:sz w:val="24"/>
        </w:rPr>
        <w:t>再认证</w:t>
      </w:r>
      <w:r>
        <w:rPr>
          <w:rFonts w:asciiTheme="minorEastAsia" w:hAnsiTheme="minorEastAsia" w:eastAsiaTheme="minorEastAsia"/>
          <w:sz w:val="24"/>
        </w:rPr>
        <w:t>、</w:t>
      </w:r>
      <w:r>
        <w:rPr>
          <w:rFonts w:hint="eastAsia" w:asciiTheme="minorEastAsia" w:hAnsiTheme="minorEastAsia" w:eastAsiaTheme="minorEastAsia"/>
          <w:sz w:val="24"/>
        </w:rPr>
        <w:t>增加</w:t>
      </w:r>
      <w:r>
        <w:rPr>
          <w:rFonts w:asciiTheme="minorEastAsia" w:hAnsiTheme="minorEastAsia" w:eastAsiaTheme="minorEastAsia"/>
          <w:sz w:val="24"/>
        </w:rPr>
        <w:t>认证领域</w:t>
      </w:r>
      <w:r>
        <w:rPr>
          <w:rFonts w:hint="eastAsia" w:asciiTheme="minorEastAsia" w:hAnsiTheme="minorEastAsia" w:eastAsiaTheme="minorEastAsia"/>
          <w:sz w:val="24"/>
        </w:rPr>
        <w:t>、变更认证范围等</w:t>
      </w:r>
      <w:r>
        <w:rPr>
          <w:rFonts w:asciiTheme="minorEastAsia" w:hAnsiTheme="minorEastAsia" w:eastAsiaTheme="minorEastAsia"/>
          <w:sz w:val="24"/>
        </w:rPr>
        <w:t>的申请</w:t>
      </w:r>
      <w:r>
        <w:rPr>
          <w:rFonts w:hint="eastAsia" w:asciiTheme="minorEastAsia" w:hAnsiTheme="minorEastAsia" w:eastAsiaTheme="minorEastAsia"/>
          <w:sz w:val="24"/>
        </w:rPr>
        <w:t>费用</w:t>
      </w:r>
      <w:r>
        <w:rPr>
          <w:rFonts w:asciiTheme="minorEastAsia" w:hAnsiTheme="minorEastAsia" w:eastAsiaTheme="minorEastAsia"/>
          <w:sz w:val="24"/>
        </w:rPr>
        <w:t>；</w:t>
      </w:r>
    </w:p>
    <w:p>
      <w:pPr>
        <w:pStyle w:val="7"/>
        <w:spacing w:line="360" w:lineRule="auto"/>
        <w:ind w:firstLine="480"/>
        <w:rPr>
          <w:rFonts w:asciiTheme="minorEastAsia" w:hAnsiTheme="minorEastAsia" w:eastAsiaTheme="minorEastAsia"/>
          <w:sz w:val="24"/>
        </w:rPr>
      </w:pPr>
      <w:r>
        <w:rPr>
          <w:rFonts w:asciiTheme="minorEastAsia" w:hAnsiTheme="minorEastAsia" w:eastAsiaTheme="minorEastAsia"/>
          <w:sz w:val="24"/>
        </w:rPr>
        <w:t>b) 审核费：初审、监督、</w:t>
      </w:r>
      <w:r>
        <w:rPr>
          <w:rFonts w:hint="eastAsia" w:asciiTheme="minorEastAsia" w:hAnsiTheme="minorEastAsia" w:eastAsiaTheme="minorEastAsia"/>
          <w:sz w:val="24"/>
        </w:rPr>
        <w:t>再认证</w:t>
      </w:r>
      <w:r>
        <w:rPr>
          <w:rFonts w:asciiTheme="minorEastAsia" w:hAnsiTheme="minorEastAsia" w:eastAsiaTheme="minorEastAsia"/>
          <w:sz w:val="24"/>
        </w:rPr>
        <w:t>、</w:t>
      </w:r>
      <w:r>
        <w:rPr>
          <w:rFonts w:hint="eastAsia" w:asciiTheme="minorEastAsia" w:hAnsiTheme="minorEastAsia" w:eastAsiaTheme="minorEastAsia"/>
          <w:sz w:val="24"/>
        </w:rPr>
        <w:t>特殊审核等</w:t>
      </w:r>
      <w:r>
        <w:rPr>
          <w:rFonts w:asciiTheme="minorEastAsia" w:hAnsiTheme="minorEastAsia" w:eastAsiaTheme="minorEastAsia"/>
          <w:sz w:val="24"/>
        </w:rPr>
        <w:t>审核</w:t>
      </w:r>
      <w:r>
        <w:rPr>
          <w:rFonts w:hint="eastAsia" w:asciiTheme="minorEastAsia" w:hAnsiTheme="minorEastAsia" w:eastAsiaTheme="minorEastAsia"/>
          <w:sz w:val="24"/>
        </w:rPr>
        <w:t>活动</w:t>
      </w:r>
      <w:r>
        <w:rPr>
          <w:rFonts w:asciiTheme="minorEastAsia" w:hAnsiTheme="minorEastAsia" w:eastAsiaTheme="minorEastAsia"/>
          <w:sz w:val="24"/>
        </w:rPr>
        <w:t>所发生的费用；</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c) 批准与注册费（含证书费）：初次认证、</w:t>
      </w:r>
      <w:r>
        <w:rPr>
          <w:rFonts w:hint="eastAsia" w:asciiTheme="minorEastAsia" w:hAnsiTheme="minorEastAsia" w:eastAsiaTheme="minorEastAsia"/>
          <w:sz w:val="24"/>
        </w:rPr>
        <w:t>再认证</w:t>
      </w:r>
      <w:r>
        <w:rPr>
          <w:rFonts w:asciiTheme="minorEastAsia" w:hAnsiTheme="minorEastAsia" w:eastAsiaTheme="minorEastAsia"/>
          <w:sz w:val="24"/>
        </w:rPr>
        <w:t>、</w:t>
      </w:r>
      <w:r>
        <w:rPr>
          <w:rFonts w:hint="eastAsia" w:asciiTheme="minorEastAsia" w:hAnsiTheme="minorEastAsia" w:eastAsiaTheme="minorEastAsia"/>
          <w:sz w:val="24"/>
        </w:rPr>
        <w:t>认证变更等</w:t>
      </w:r>
      <w:r>
        <w:rPr>
          <w:rFonts w:asciiTheme="minorEastAsia" w:hAnsiTheme="minorEastAsia" w:eastAsiaTheme="minorEastAsia"/>
          <w:sz w:val="24"/>
        </w:rPr>
        <w:t>的</w:t>
      </w:r>
      <w:r>
        <w:rPr>
          <w:rFonts w:hint="eastAsia" w:asciiTheme="minorEastAsia" w:hAnsiTheme="minorEastAsia" w:eastAsiaTheme="minorEastAsia"/>
          <w:sz w:val="24"/>
        </w:rPr>
        <w:t>批准与</w:t>
      </w:r>
      <w:r>
        <w:rPr>
          <w:rFonts w:asciiTheme="minorEastAsia" w:hAnsiTheme="minorEastAsia" w:eastAsiaTheme="minorEastAsia"/>
          <w:sz w:val="24"/>
        </w:rPr>
        <w:t>注册</w:t>
      </w:r>
      <w:r>
        <w:rPr>
          <w:rFonts w:hint="eastAsia" w:asciiTheme="minorEastAsia" w:hAnsiTheme="minorEastAsia" w:eastAsiaTheme="minorEastAsia"/>
          <w:sz w:val="24"/>
        </w:rPr>
        <w:t>费用</w:t>
      </w:r>
      <w:r>
        <w:rPr>
          <w:rFonts w:asciiTheme="minorEastAsia" w:hAnsiTheme="minorEastAsia" w:eastAsiaTheme="minorEastAsia"/>
          <w:sz w:val="24"/>
        </w:rPr>
        <w:t>，</w:t>
      </w:r>
      <w:r>
        <w:rPr>
          <w:rFonts w:hint="eastAsia" w:asciiTheme="minorEastAsia" w:hAnsiTheme="minorEastAsia" w:eastAsiaTheme="minorEastAsia"/>
          <w:sz w:val="24"/>
        </w:rPr>
        <w:t>按</w:t>
      </w:r>
      <w:r>
        <w:rPr>
          <w:rFonts w:asciiTheme="minorEastAsia" w:hAnsiTheme="minorEastAsia" w:eastAsiaTheme="minorEastAsia"/>
          <w:sz w:val="24"/>
        </w:rPr>
        <w:t>不同认证领域分别收取；</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d) 年金（含标志使用费）、</w:t>
      </w:r>
      <w:r>
        <w:rPr>
          <w:rFonts w:hint="eastAsia" w:asciiTheme="minorEastAsia" w:hAnsiTheme="minorEastAsia" w:eastAsiaTheme="minorEastAsia"/>
          <w:sz w:val="24"/>
        </w:rPr>
        <w:t>更换证书费。</w:t>
      </w:r>
    </w:p>
    <w:p>
      <w:pPr>
        <w:pStyle w:val="5"/>
        <w:rPr>
          <w:b w:val="0"/>
        </w:rPr>
      </w:pPr>
      <w:bookmarkStart w:id="7" w:name="_Toc452364117"/>
      <w:r>
        <w:t>3.2 收费标准</w:t>
      </w:r>
      <w:bookmarkEnd w:id="7"/>
    </w:p>
    <w:tbl>
      <w:tblPr>
        <w:tblStyle w:val="16"/>
        <w:tblW w:w="8967" w:type="dxa"/>
        <w:tblInd w:w="-3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2"/>
        <w:gridCol w:w="2277"/>
        <w:gridCol w:w="2989"/>
        <w:gridCol w:w="298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7" w:hRule="atLeast"/>
        </w:trPr>
        <w:tc>
          <w:tcPr>
            <w:tcW w:w="7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序号</w:t>
            </w:r>
          </w:p>
        </w:tc>
        <w:tc>
          <w:tcPr>
            <w:tcW w:w="2277" w:type="dxa"/>
            <w:tcBorders>
              <w:top w:val="single" w:color="auto" w:sz="4" w:space="0"/>
              <w:left w:val="single" w:color="auto" w:sz="4" w:space="0"/>
              <w:bottom w:val="single" w:color="auto" w:sz="4" w:space="0"/>
              <w:right w:val="single" w:color="auto" w:sz="4" w:space="0"/>
            </w:tcBorders>
            <w:vAlign w:val="center"/>
          </w:tcPr>
          <w:p>
            <w:pPr>
              <w:spacing w:line="360" w:lineRule="auto"/>
              <w:ind w:right="739" w:rightChars="352"/>
              <w:jc w:val="right"/>
              <w:rPr>
                <w:rFonts w:ascii="宋体" w:hAnsi="宋体"/>
                <w:sz w:val="18"/>
                <w:szCs w:val="18"/>
              </w:rPr>
            </w:pPr>
            <w:r>
              <w:rPr>
                <w:rFonts w:hint="eastAsia" w:ascii="宋体" w:hAnsi="宋体"/>
                <w:sz w:val="18"/>
                <w:szCs w:val="18"/>
              </w:rPr>
              <w:t>收费项目</w:t>
            </w:r>
          </w:p>
        </w:tc>
        <w:tc>
          <w:tcPr>
            <w:tcW w:w="2989" w:type="dxa"/>
            <w:tcBorders>
              <w:top w:val="single" w:color="auto" w:sz="4" w:space="0"/>
              <w:left w:val="single" w:color="auto" w:sz="4" w:space="0"/>
              <w:right w:val="single" w:color="auto" w:sz="4" w:space="0"/>
            </w:tcBorders>
            <w:vAlign w:val="center"/>
          </w:tcPr>
          <w:p>
            <w:pPr>
              <w:spacing w:line="360" w:lineRule="auto"/>
              <w:ind w:firstLine="180" w:firstLineChars="100"/>
              <w:jc w:val="center"/>
              <w:rPr>
                <w:rFonts w:ascii="宋体" w:hAnsi="宋体"/>
                <w:sz w:val="18"/>
                <w:szCs w:val="18"/>
              </w:rPr>
            </w:pPr>
            <w:r>
              <w:rPr>
                <w:rFonts w:hint="eastAsia" w:ascii="宋体" w:hAnsi="宋体"/>
                <w:sz w:val="18"/>
                <w:szCs w:val="18"/>
              </w:rPr>
              <w:t>收</w:t>
            </w:r>
            <w:r>
              <w:rPr>
                <w:rFonts w:ascii="宋体" w:hAnsi="宋体"/>
                <w:sz w:val="18"/>
                <w:szCs w:val="18"/>
              </w:rPr>
              <w:t>费标准（单位：元</w:t>
            </w:r>
            <w:r>
              <w:rPr>
                <w:rFonts w:hint="eastAsia" w:ascii="宋体" w:hAnsi="宋体"/>
                <w:sz w:val="18"/>
                <w:szCs w:val="18"/>
              </w:rPr>
              <w:t>（RMB）</w:t>
            </w:r>
            <w:r>
              <w:rPr>
                <w:rFonts w:ascii="宋体" w:hAnsi="宋体"/>
                <w:sz w:val="18"/>
                <w:szCs w:val="18"/>
              </w:rPr>
              <w:t>）</w:t>
            </w:r>
          </w:p>
        </w:tc>
        <w:tc>
          <w:tcPr>
            <w:tcW w:w="2989" w:type="dxa"/>
            <w:tcBorders>
              <w:top w:val="single" w:color="auto" w:sz="4" w:space="0"/>
              <w:left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备</w:t>
            </w:r>
            <w:r>
              <w:rPr>
                <w:rFonts w:ascii="宋体" w:hAnsi="宋体"/>
                <w:sz w:val="18"/>
                <w:szCs w:val="18"/>
              </w:rPr>
              <w:t xml:space="preserve">    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9" w:hRule="atLeast"/>
        </w:trPr>
        <w:tc>
          <w:tcPr>
            <w:tcW w:w="7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pacing w:val="-20"/>
                <w:w w:val="90"/>
              </w:rPr>
            </w:pPr>
            <w:r>
              <w:rPr>
                <w:rFonts w:ascii="宋体" w:hAnsi="宋体"/>
                <w:spacing w:val="-20"/>
                <w:w w:val="90"/>
              </w:rPr>
              <w:t>1</w:t>
            </w:r>
          </w:p>
        </w:tc>
        <w:tc>
          <w:tcPr>
            <w:tcW w:w="22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申</w:t>
            </w:r>
            <w:r>
              <w:rPr>
                <w:rFonts w:ascii="宋体" w:hAnsi="宋体"/>
                <w:sz w:val="18"/>
                <w:szCs w:val="18"/>
              </w:rPr>
              <w:t>请费</w:t>
            </w:r>
          </w:p>
        </w:tc>
        <w:tc>
          <w:tcPr>
            <w:tcW w:w="29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ascii="宋体" w:hAnsi="宋体"/>
                <w:sz w:val="18"/>
                <w:szCs w:val="18"/>
              </w:rPr>
              <w:t>1000</w:t>
            </w:r>
          </w:p>
        </w:tc>
        <w:tc>
          <w:tcPr>
            <w:tcW w:w="2989"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审核人日数按方圆企业诚信管理体系审核时间计算方法</w:t>
            </w:r>
          </w:p>
          <w:p>
            <w:pPr>
              <w:spacing w:line="360" w:lineRule="auto"/>
              <w:jc w:val="center"/>
              <w:rPr>
                <w:rFonts w:ascii="宋体" w:hAnsi="宋体"/>
                <w:sz w:val="18"/>
                <w:szCs w:val="18"/>
              </w:rPr>
            </w:pPr>
            <w:r>
              <w:rPr>
                <w:rFonts w:hint="eastAsia" w:ascii="宋体" w:hAnsi="宋体"/>
                <w:sz w:val="18"/>
                <w:szCs w:val="18"/>
              </w:rPr>
              <w:t>审核人日数按国家规定执行</w:t>
            </w:r>
          </w:p>
          <w:p>
            <w:pPr>
              <w:spacing w:line="360" w:lineRule="auto"/>
              <w:ind w:left="-109" w:leftChars="-52"/>
              <w:jc w:val="center"/>
              <w:rPr>
                <w:rFonts w:ascii="宋体" w:hAnsi="宋体"/>
                <w:sz w:val="18"/>
                <w:szCs w:val="18"/>
              </w:rPr>
            </w:pPr>
            <w:r>
              <w:rPr>
                <w:rFonts w:hint="eastAsia" w:ascii="宋体" w:hAnsi="宋体"/>
                <w:sz w:val="18"/>
                <w:szCs w:val="18"/>
              </w:rPr>
              <w:t>证书副本及子证书每张收费50元</w:t>
            </w:r>
          </w:p>
          <w:p>
            <w:pPr>
              <w:spacing w:line="360" w:lineRule="auto"/>
              <w:ind w:left="-109" w:leftChars="-52"/>
              <w:jc w:val="center"/>
              <w:rPr>
                <w:rFonts w:ascii="宋体" w:hAnsi="宋体"/>
                <w:sz w:val="18"/>
                <w:szCs w:val="18"/>
              </w:rPr>
            </w:pPr>
            <w:r>
              <w:rPr>
                <w:rFonts w:hint="eastAsia" w:ascii="宋体" w:hAnsi="宋体"/>
                <w:sz w:val="18"/>
                <w:szCs w:val="18"/>
              </w:rPr>
              <w:t xml:space="preserve">补发证书及证书变更每张收费50元 </w:t>
            </w:r>
          </w:p>
          <w:p>
            <w:pPr>
              <w:spacing w:line="360" w:lineRule="auto"/>
              <w:ind w:left="-109" w:leftChars="-52"/>
              <w:jc w:val="center"/>
              <w:rPr>
                <w:rFonts w:ascii="宋体" w:hAnsi="宋体"/>
                <w:spacing w:val="-20"/>
                <w:w w:val="90"/>
              </w:rPr>
            </w:pPr>
            <w:r>
              <w:rPr>
                <w:rFonts w:hint="eastAsia" w:ascii="宋体" w:hAnsi="宋体"/>
                <w:sz w:val="18"/>
                <w:szCs w:val="18"/>
              </w:rPr>
              <w:t>年金每年交纳一次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3" w:hRule="atLeast"/>
        </w:trPr>
        <w:tc>
          <w:tcPr>
            <w:tcW w:w="7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pacing w:val="-20"/>
                <w:w w:val="90"/>
              </w:rPr>
            </w:pPr>
            <w:r>
              <w:rPr>
                <w:rFonts w:ascii="宋体" w:hAnsi="宋体"/>
                <w:spacing w:val="-20"/>
                <w:w w:val="90"/>
              </w:rPr>
              <w:t>2</w:t>
            </w:r>
          </w:p>
        </w:tc>
        <w:tc>
          <w:tcPr>
            <w:tcW w:w="22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审</w:t>
            </w:r>
            <w:r>
              <w:rPr>
                <w:rFonts w:ascii="宋体" w:hAnsi="宋体"/>
                <w:sz w:val="18"/>
                <w:szCs w:val="18"/>
              </w:rPr>
              <w:t>核费</w:t>
            </w:r>
          </w:p>
        </w:tc>
        <w:tc>
          <w:tcPr>
            <w:tcW w:w="29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ascii="宋体" w:hAnsi="宋体"/>
                <w:sz w:val="18"/>
                <w:szCs w:val="18"/>
              </w:rPr>
              <w:t>3000</w:t>
            </w:r>
            <w:r>
              <w:rPr>
                <w:rFonts w:hint="eastAsia" w:ascii="宋体" w:hAnsi="宋体"/>
                <w:sz w:val="18"/>
                <w:szCs w:val="18"/>
              </w:rPr>
              <w:t>～6000</w:t>
            </w:r>
            <w:r>
              <w:rPr>
                <w:rFonts w:ascii="宋体" w:hAnsi="宋体"/>
                <w:sz w:val="18"/>
                <w:szCs w:val="18"/>
              </w:rPr>
              <w:t>×人日数</w:t>
            </w:r>
          </w:p>
        </w:tc>
        <w:tc>
          <w:tcPr>
            <w:tcW w:w="29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pacing w:val="-20"/>
                <w:w w:val="9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39" w:hRule="atLeast"/>
        </w:trPr>
        <w:tc>
          <w:tcPr>
            <w:tcW w:w="7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pacing w:val="-20"/>
                <w:w w:val="90"/>
              </w:rPr>
            </w:pPr>
            <w:r>
              <w:rPr>
                <w:rFonts w:ascii="宋体" w:hAnsi="宋体"/>
                <w:spacing w:val="-20"/>
                <w:w w:val="90"/>
              </w:rPr>
              <w:t>3</w:t>
            </w:r>
          </w:p>
        </w:tc>
        <w:tc>
          <w:tcPr>
            <w:tcW w:w="22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批准与注册费</w:t>
            </w:r>
            <w:r>
              <w:rPr>
                <w:rFonts w:ascii="宋体" w:hAnsi="宋体"/>
                <w:sz w:val="18"/>
                <w:szCs w:val="18"/>
              </w:rPr>
              <w:t>（含证书费）</w:t>
            </w:r>
          </w:p>
        </w:tc>
        <w:tc>
          <w:tcPr>
            <w:tcW w:w="29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ascii="宋体" w:hAnsi="宋体"/>
                <w:sz w:val="18"/>
                <w:szCs w:val="18"/>
              </w:rPr>
              <w:t>2000</w:t>
            </w:r>
          </w:p>
        </w:tc>
        <w:tc>
          <w:tcPr>
            <w:tcW w:w="29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pacing w:val="-20"/>
                <w:w w:val="9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3" w:hRule="atLeast"/>
        </w:trPr>
        <w:tc>
          <w:tcPr>
            <w:tcW w:w="7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pacing w:val="-20"/>
                <w:w w:val="90"/>
              </w:rPr>
            </w:pPr>
            <w:r>
              <w:rPr>
                <w:rFonts w:ascii="宋体" w:hAnsi="宋体"/>
                <w:spacing w:val="-20"/>
                <w:w w:val="90"/>
              </w:rPr>
              <w:t>4</w:t>
            </w:r>
          </w:p>
        </w:tc>
        <w:tc>
          <w:tcPr>
            <w:tcW w:w="22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年</w:t>
            </w:r>
            <w:r>
              <w:rPr>
                <w:rFonts w:ascii="宋体" w:hAnsi="宋体"/>
                <w:sz w:val="18"/>
                <w:szCs w:val="18"/>
              </w:rPr>
              <w:t>金（含标志使用费）</w:t>
            </w:r>
          </w:p>
        </w:tc>
        <w:tc>
          <w:tcPr>
            <w:tcW w:w="29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ascii="宋体" w:hAnsi="宋体"/>
                <w:sz w:val="18"/>
                <w:szCs w:val="18"/>
              </w:rPr>
              <w:t>2000</w:t>
            </w:r>
          </w:p>
        </w:tc>
        <w:tc>
          <w:tcPr>
            <w:tcW w:w="29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pacing w:val="-20"/>
                <w:w w:val="9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9" w:hRule="atLeast"/>
        </w:trPr>
        <w:tc>
          <w:tcPr>
            <w:tcW w:w="7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pacing w:val="-20"/>
                <w:w w:val="90"/>
              </w:rPr>
            </w:pPr>
            <w:r>
              <w:rPr>
                <w:rFonts w:ascii="宋体" w:hAnsi="宋体"/>
                <w:spacing w:val="-20"/>
                <w:w w:val="90"/>
              </w:rPr>
              <w:t>5</w:t>
            </w:r>
          </w:p>
        </w:tc>
        <w:tc>
          <w:tcPr>
            <w:tcW w:w="22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（监</w:t>
            </w:r>
            <w:r>
              <w:rPr>
                <w:rFonts w:ascii="宋体" w:hAnsi="宋体"/>
                <w:sz w:val="18"/>
                <w:szCs w:val="18"/>
              </w:rPr>
              <w:t>督）审核费</w:t>
            </w:r>
          </w:p>
        </w:tc>
        <w:tc>
          <w:tcPr>
            <w:tcW w:w="29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ascii="宋体" w:hAnsi="宋体"/>
                <w:sz w:val="18"/>
                <w:szCs w:val="18"/>
              </w:rPr>
              <w:t>3000</w:t>
            </w:r>
            <w:r>
              <w:rPr>
                <w:rFonts w:hint="eastAsia" w:ascii="宋体" w:hAnsi="宋体"/>
                <w:sz w:val="18"/>
                <w:szCs w:val="18"/>
              </w:rPr>
              <w:t>～6000</w:t>
            </w:r>
            <w:r>
              <w:rPr>
                <w:rFonts w:ascii="宋体" w:hAnsi="宋体"/>
                <w:sz w:val="18"/>
                <w:szCs w:val="18"/>
              </w:rPr>
              <w:t>×人日数</w:t>
            </w:r>
          </w:p>
        </w:tc>
        <w:tc>
          <w:tcPr>
            <w:tcW w:w="29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pacing w:val="-20"/>
                <w:w w:val="90"/>
              </w:rPr>
            </w:pPr>
          </w:p>
        </w:tc>
      </w:tr>
    </w:tbl>
    <w:p>
      <w:pPr>
        <w:spacing w:line="360" w:lineRule="auto"/>
        <w:ind w:left="509" w:hanging="480"/>
        <w:rPr>
          <w:rFonts w:ascii="宋体" w:hAnsi="宋体"/>
          <w:sz w:val="24"/>
        </w:rPr>
      </w:pPr>
      <w:r>
        <w:rPr>
          <w:rFonts w:hint="eastAsia" w:ascii="宋体" w:hAnsi="宋体"/>
          <w:sz w:val="24"/>
        </w:rPr>
        <w:t>注：人日数是指认证审核所需的工作人天数（即审核员人数×工作天数）</w:t>
      </w:r>
    </w:p>
    <w:p>
      <w:pPr>
        <w:pStyle w:val="2"/>
      </w:pPr>
      <w:bookmarkStart w:id="8" w:name="_Toc452364118"/>
      <w:bookmarkStart w:id="9" w:name="_Toc50730310"/>
      <w:r>
        <w:t>4.收费方法</w:t>
      </w:r>
      <w:bookmarkEnd w:id="8"/>
      <w:bookmarkEnd w:id="9"/>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a) 申请人向CQM提出认证申请时支付申请费。审核前支付审核费。颁发认证证书</w:t>
      </w:r>
      <w:r>
        <w:rPr>
          <w:rFonts w:hint="eastAsia" w:asciiTheme="minorEastAsia" w:hAnsiTheme="minorEastAsia" w:eastAsiaTheme="minorEastAsia"/>
          <w:sz w:val="24"/>
        </w:rPr>
        <w:t>前</w:t>
      </w:r>
      <w:r>
        <w:rPr>
          <w:rFonts w:asciiTheme="minorEastAsia" w:hAnsiTheme="minorEastAsia" w:eastAsiaTheme="minorEastAsia"/>
          <w:sz w:val="24"/>
        </w:rPr>
        <w:t>支付批准注册费。</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b) 获证组织在交付监督审核费的同时支付年金</w:t>
      </w:r>
      <w:r>
        <w:rPr>
          <w:rFonts w:hint="eastAsia" w:asciiTheme="minorEastAsia" w:hAnsiTheme="minorEastAsia" w:eastAsiaTheme="minorEastAsia"/>
          <w:sz w:val="24"/>
        </w:rPr>
        <w:t>。</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c) 更换证书费在领取新证书</w:t>
      </w:r>
      <w:r>
        <w:rPr>
          <w:rFonts w:hint="eastAsia" w:asciiTheme="minorEastAsia" w:hAnsiTheme="minorEastAsia" w:eastAsiaTheme="minorEastAsia"/>
          <w:sz w:val="24"/>
        </w:rPr>
        <w:t>前</w:t>
      </w:r>
      <w:r>
        <w:rPr>
          <w:rFonts w:asciiTheme="minorEastAsia" w:hAnsiTheme="minorEastAsia" w:eastAsiaTheme="minorEastAsia"/>
          <w:sz w:val="24"/>
        </w:rPr>
        <w:t>支付。</w:t>
      </w:r>
    </w:p>
    <w:p>
      <w:pPr>
        <w:spacing w:line="360" w:lineRule="auto"/>
        <w:ind w:firstLine="480" w:firstLineChars="200"/>
        <w:rPr>
          <w:rFonts w:asciiTheme="minorEastAsia" w:hAnsiTheme="minorEastAsia" w:eastAsiaTheme="minorEastAsia"/>
          <w:sz w:val="24"/>
        </w:rPr>
      </w:pPr>
    </w:p>
    <w:p>
      <w:pPr>
        <w:pStyle w:val="2"/>
      </w:pPr>
      <w:bookmarkStart w:id="10" w:name="_Toc452364119"/>
      <w:bookmarkStart w:id="11" w:name="_Toc50730311"/>
      <w:r>
        <w:t>5.审核人日数核算方法</w:t>
      </w:r>
      <w:bookmarkEnd w:id="10"/>
      <w:bookmarkEnd w:id="11"/>
    </w:p>
    <w:p>
      <w:pPr>
        <w:spacing w:line="360" w:lineRule="auto"/>
        <w:ind w:firstLine="420"/>
        <w:rPr>
          <w:rFonts w:asciiTheme="minorEastAsia" w:hAnsiTheme="minorEastAsia" w:eastAsiaTheme="minorEastAsia"/>
          <w:sz w:val="24"/>
        </w:rPr>
      </w:pPr>
      <w:r>
        <w:rPr>
          <w:rFonts w:hint="eastAsia" w:asciiTheme="minorEastAsia" w:hAnsiTheme="minorEastAsia" w:eastAsiaTheme="minorEastAsia"/>
          <w:sz w:val="24"/>
        </w:rPr>
        <w:t>企业诚信管理体系审核人日数与审核范围内的有效人数、审核类型（</w:t>
      </w:r>
      <w:r>
        <w:rPr>
          <w:rFonts w:asciiTheme="minorEastAsia" w:hAnsiTheme="minorEastAsia" w:eastAsiaTheme="minorEastAsia"/>
          <w:sz w:val="24"/>
        </w:rPr>
        <w:t>初审、监督、</w:t>
      </w:r>
      <w:r>
        <w:rPr>
          <w:rFonts w:hint="eastAsia" w:asciiTheme="minorEastAsia" w:hAnsiTheme="minorEastAsia" w:eastAsiaTheme="minorEastAsia"/>
          <w:sz w:val="24"/>
        </w:rPr>
        <w:t>再认证</w:t>
      </w:r>
      <w:r>
        <w:rPr>
          <w:rFonts w:asciiTheme="minorEastAsia" w:hAnsiTheme="minorEastAsia" w:eastAsiaTheme="minorEastAsia"/>
          <w:sz w:val="24"/>
        </w:rPr>
        <w:t>、</w:t>
      </w:r>
      <w:r>
        <w:rPr>
          <w:rFonts w:hint="eastAsia" w:asciiTheme="minorEastAsia" w:hAnsiTheme="minorEastAsia" w:eastAsiaTheme="minorEastAsia"/>
          <w:sz w:val="24"/>
        </w:rPr>
        <w:t>特殊审核等）、业务范围类型和场所数量与类型等因素相关。人日数包括文件评审、审核准备、现场审核和最终报告等时间；不包括路途时间。</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获证组织在已取得的企业诚信管理体系认证的领域扩大范围，根据实际发生的审核工作量计算审核人日数。</w:t>
      </w:r>
    </w:p>
    <w:sectPr>
      <w:headerReference r:id="rId5" w:type="first"/>
      <w:headerReference r:id="rId3" w:type="default"/>
      <w:footerReference r:id="rId6" w:type="default"/>
      <w:headerReference r:id="rId4" w:type="even"/>
      <w:pgSz w:w="11906" w:h="16838"/>
      <w:pgMar w:top="856" w:right="1797" w:bottom="1440" w:left="1797" w:header="567" w:footer="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9180" w:type="dxa"/>
      <w:tblInd w:w="-252" w:type="dxa"/>
      <w:tblLayout w:type="fixed"/>
      <w:tblCellMar>
        <w:top w:w="0" w:type="dxa"/>
        <w:left w:w="108" w:type="dxa"/>
        <w:bottom w:w="0" w:type="dxa"/>
        <w:right w:w="108" w:type="dxa"/>
      </w:tblCellMar>
    </w:tblPr>
    <w:tblGrid>
      <w:gridCol w:w="1050"/>
      <w:gridCol w:w="4530"/>
      <w:gridCol w:w="1620"/>
      <w:gridCol w:w="1980"/>
    </w:tblGrid>
    <w:tr>
      <w:tblPrEx>
        <w:tblCellMar>
          <w:top w:w="0" w:type="dxa"/>
          <w:left w:w="108" w:type="dxa"/>
          <w:bottom w:w="0" w:type="dxa"/>
          <w:right w:w="108" w:type="dxa"/>
        </w:tblCellMar>
      </w:tblPrEx>
      <w:trPr>
        <w:trHeight w:val="1326" w:hRule="atLeast"/>
      </w:trPr>
      <w:tc>
        <w:tcPr>
          <w:tcW w:w="1050" w:type="dxa"/>
          <w:tcBorders>
            <w:top w:val="thinThickSmallGap" w:color="3366FF" w:sz="18" w:space="0"/>
          </w:tcBorders>
        </w:tcPr>
        <w:p>
          <w:pPr>
            <w:pStyle w:val="10"/>
            <w:ind w:left="-108"/>
            <w:jc w:val="both"/>
            <w:rPr>
              <w:sz w:val="13"/>
            </w:rPr>
          </w:pPr>
        </w:p>
        <w:p>
          <w:pPr>
            <w:pStyle w:val="10"/>
            <w:ind w:left="-108"/>
            <w:jc w:val="both"/>
          </w:pPr>
          <w:r>
            <w:rPr>
              <w:rFonts w:hint="eastAsia"/>
            </w:rPr>
            <w:t>通讯地址：</w:t>
          </w:r>
        </w:p>
        <w:p>
          <w:pPr>
            <w:pStyle w:val="10"/>
            <w:ind w:left="-108"/>
            <w:jc w:val="both"/>
          </w:pPr>
          <w:r>
            <w:rPr>
              <w:rFonts w:hint="eastAsia"/>
            </w:rPr>
            <w:t>电话：</w:t>
          </w:r>
        </w:p>
        <w:p>
          <w:pPr>
            <w:pStyle w:val="10"/>
            <w:ind w:left="-108"/>
            <w:jc w:val="both"/>
          </w:pPr>
          <w:r>
            <w:rPr>
              <w:rFonts w:hint="eastAsia"/>
            </w:rPr>
            <w:t>传真：</w:t>
          </w:r>
        </w:p>
        <w:p>
          <w:pPr>
            <w:pStyle w:val="10"/>
            <w:ind w:left="-108"/>
            <w:jc w:val="both"/>
          </w:pPr>
          <w:r>
            <w:rPr>
              <w:rFonts w:hint="eastAsia"/>
            </w:rPr>
            <w:t>网址：</w:t>
          </w:r>
        </w:p>
        <w:p>
          <w:pPr>
            <w:pStyle w:val="10"/>
            <w:ind w:left="-108"/>
            <w:jc w:val="both"/>
          </w:pPr>
          <w:r>
            <w:rPr>
              <w:rFonts w:hint="eastAsia"/>
              <w:spacing w:val="24"/>
              <w:sz w:val="21"/>
            </w:rPr>
            <w:t>E-mail</w:t>
          </w:r>
          <w:r>
            <w:rPr>
              <w:rFonts w:hint="eastAsia"/>
              <w:spacing w:val="20"/>
              <w:lang w:val="en-GB"/>
            </w:rPr>
            <w:t>：</w:t>
          </w:r>
        </w:p>
      </w:tc>
      <w:tc>
        <w:tcPr>
          <w:tcW w:w="4530" w:type="dxa"/>
          <w:tcBorders>
            <w:top w:val="thinThickSmallGap" w:color="3366FF" w:sz="18" w:space="0"/>
          </w:tcBorders>
        </w:tcPr>
        <w:p>
          <w:pPr>
            <w:pStyle w:val="10"/>
            <w:ind w:left="-108"/>
            <w:jc w:val="both"/>
            <w:rPr>
              <w:sz w:val="13"/>
            </w:rPr>
          </w:pPr>
        </w:p>
        <w:p>
          <w:pPr>
            <w:pStyle w:val="10"/>
            <w:ind w:left="-108"/>
            <w:jc w:val="both"/>
          </w:pPr>
          <w:r>
            <w:rPr>
              <w:rFonts w:hint="eastAsia"/>
            </w:rPr>
            <w:t>北京市海淀区增光路33号</w:t>
          </w:r>
          <w:r>
            <w:t>(</w:t>
          </w:r>
          <w:r>
            <w:rPr>
              <w:rFonts w:hint="eastAsia"/>
            </w:rPr>
            <w:t>100048</w:t>
          </w:r>
          <w:r>
            <w:t>)</w:t>
          </w:r>
        </w:p>
        <w:p>
          <w:pPr>
            <w:pStyle w:val="10"/>
            <w:ind w:left="-108"/>
            <w:jc w:val="both"/>
          </w:pPr>
          <w:r>
            <w:rPr>
              <w:rFonts w:hint="eastAsia"/>
            </w:rPr>
            <w:t>（010）88411888（总机）</w:t>
          </w:r>
        </w:p>
        <w:p>
          <w:pPr>
            <w:pStyle w:val="10"/>
            <w:ind w:left="-108"/>
            <w:jc w:val="both"/>
          </w:pPr>
          <w:r>
            <w:rPr>
              <w:rFonts w:hint="eastAsia"/>
            </w:rPr>
            <w:t>（010）88414325</w:t>
          </w:r>
        </w:p>
        <w:p>
          <w:pPr>
            <w:pStyle w:val="10"/>
            <w:jc w:val="both"/>
          </w:pPr>
          <w:r>
            <w:t>http://cqm.cn/</w:t>
          </w:r>
        </w:p>
        <w:p>
          <w:pPr>
            <w:pStyle w:val="10"/>
            <w:jc w:val="both"/>
          </w:pPr>
          <w:r>
            <w:t>cqm@cqm.com.cn</w:t>
          </w:r>
        </w:p>
      </w:tc>
      <w:tc>
        <w:tcPr>
          <w:tcW w:w="1620" w:type="dxa"/>
          <w:tcBorders>
            <w:top w:val="thinThickSmallGap" w:color="3366FF" w:sz="18" w:space="0"/>
          </w:tcBorders>
        </w:tcPr>
        <w:p>
          <w:pPr>
            <w:pStyle w:val="10"/>
            <w:jc w:val="both"/>
          </w:pPr>
        </w:p>
        <w:p>
          <w:pPr>
            <w:pStyle w:val="10"/>
            <w:jc w:val="both"/>
          </w:pPr>
          <w:r>
            <w:rPr>
              <w:rFonts w:hint="eastAsia"/>
            </w:rPr>
            <w:t>文件编号：</w:t>
          </w:r>
        </w:p>
        <w:p>
          <w:pPr>
            <w:pStyle w:val="10"/>
            <w:jc w:val="both"/>
          </w:pPr>
          <w:r>
            <w:rPr>
              <w:rFonts w:hint="eastAsia"/>
            </w:rPr>
            <w:t>发布日期：</w:t>
          </w:r>
        </w:p>
        <w:p>
          <w:pPr>
            <w:widowControl/>
            <w:jc w:val="left"/>
            <w:rPr>
              <w:sz w:val="18"/>
              <w:szCs w:val="18"/>
            </w:rPr>
          </w:pPr>
          <w:r>
            <w:rPr>
              <w:rFonts w:hint="eastAsia"/>
              <w:sz w:val="18"/>
              <w:szCs w:val="18"/>
            </w:rPr>
            <w:t>修订日期：</w:t>
          </w:r>
        </w:p>
        <w:p>
          <w:pPr>
            <w:widowControl/>
            <w:jc w:val="left"/>
            <w:rPr>
              <w:sz w:val="18"/>
              <w:szCs w:val="18"/>
            </w:rPr>
          </w:pPr>
          <w:r>
            <w:rPr>
              <w:rFonts w:hint="eastAsia"/>
              <w:sz w:val="18"/>
              <w:szCs w:val="18"/>
            </w:rPr>
            <w:t>实施日期：</w:t>
          </w:r>
        </w:p>
        <w:p>
          <w:pPr>
            <w:widowControl/>
            <w:jc w:val="left"/>
            <w:rPr>
              <w:sz w:val="18"/>
              <w:szCs w:val="18"/>
            </w:rPr>
          </w:pPr>
          <w:r>
            <w:rPr>
              <w:rFonts w:hint="eastAsia"/>
              <w:sz w:val="18"/>
              <w:szCs w:val="18"/>
            </w:rPr>
            <w:t>页数：</w:t>
          </w:r>
        </w:p>
      </w:tc>
      <w:tc>
        <w:tcPr>
          <w:tcW w:w="1980" w:type="dxa"/>
          <w:tcBorders>
            <w:top w:val="thinThickSmallGap" w:color="3366FF" w:sz="18" w:space="0"/>
          </w:tcBorders>
        </w:tcPr>
        <w:p>
          <w:pPr>
            <w:pStyle w:val="10"/>
            <w:jc w:val="both"/>
          </w:pPr>
        </w:p>
        <w:p>
          <w:pPr>
            <w:pStyle w:val="10"/>
            <w:jc w:val="both"/>
          </w:pPr>
          <w:r>
            <w:t>CQM/S-GK-00</w:t>
          </w:r>
          <w:r>
            <w:rPr>
              <w:rFonts w:hint="eastAsia"/>
            </w:rPr>
            <w:t>3-（</w:t>
          </w:r>
          <w:r>
            <w:rPr>
              <w:rFonts w:hint="eastAsia"/>
              <w:lang w:val="en-US" w:eastAsia="zh-CN"/>
            </w:rPr>
            <w:t>10</w:t>
          </w:r>
          <w:r>
            <w:rPr>
              <w:rFonts w:hint="eastAsia"/>
            </w:rPr>
            <w:t>）</w:t>
          </w:r>
        </w:p>
        <w:p>
          <w:pPr>
            <w:pStyle w:val="10"/>
            <w:jc w:val="both"/>
          </w:pPr>
          <w:r>
            <w:rPr>
              <w:rFonts w:hint="eastAsia"/>
            </w:rPr>
            <w:t>2021年0</w:t>
          </w:r>
          <w:r>
            <w:rPr>
              <w:rFonts w:hint="eastAsia"/>
              <w:lang w:val="en-US" w:eastAsia="zh-CN"/>
            </w:rPr>
            <w:t>6</w:t>
          </w:r>
          <w:r>
            <w:rPr>
              <w:rFonts w:hint="eastAsia"/>
            </w:rPr>
            <w:t>月</w:t>
          </w:r>
          <w:r>
            <w:rPr>
              <w:rFonts w:hint="eastAsia"/>
              <w:lang w:val="en-US" w:eastAsia="zh-CN"/>
            </w:rPr>
            <w:t>0</w:t>
          </w:r>
          <w:r>
            <w:rPr>
              <w:rFonts w:hint="eastAsia"/>
            </w:rPr>
            <w:t>2日</w:t>
          </w:r>
        </w:p>
        <w:p>
          <w:pPr>
            <w:pStyle w:val="10"/>
            <w:jc w:val="both"/>
          </w:pPr>
        </w:p>
        <w:p>
          <w:pPr>
            <w:pStyle w:val="10"/>
            <w:jc w:val="both"/>
          </w:pPr>
          <w:r>
            <w:rPr>
              <w:rFonts w:hint="eastAsia"/>
            </w:rPr>
            <w:t>2021年0</w:t>
          </w:r>
          <w:r>
            <w:rPr>
              <w:rFonts w:hint="eastAsia"/>
              <w:lang w:val="en-US" w:eastAsia="zh-CN"/>
            </w:rPr>
            <w:t>6</w:t>
          </w:r>
          <w:r>
            <w:rPr>
              <w:rFonts w:hint="eastAsia"/>
            </w:rPr>
            <w:t>月</w:t>
          </w:r>
          <w:r>
            <w:rPr>
              <w:rFonts w:hint="eastAsia"/>
              <w:lang w:val="en-US" w:eastAsia="zh-CN"/>
            </w:rPr>
            <w:t>0</w:t>
          </w:r>
          <w:r>
            <w:rPr>
              <w:rFonts w:hint="eastAsia"/>
            </w:rPr>
            <w:t>2日</w:t>
          </w:r>
        </w:p>
        <w:p>
          <w:pPr>
            <w:pStyle w:val="10"/>
            <w:jc w:val="both"/>
          </w:pPr>
          <w:r>
            <w:rPr>
              <w:rFonts w:hint="eastAsia"/>
            </w:rPr>
            <w:t>第</w:t>
          </w:r>
          <w:r>
            <w:fldChar w:fldCharType="begin"/>
          </w:r>
          <w:r>
            <w:rPr>
              <w:rStyle w:val="18"/>
            </w:rPr>
            <w:instrText xml:space="preserve"> PAGE </w:instrText>
          </w:r>
          <w:r>
            <w:fldChar w:fldCharType="separate"/>
          </w:r>
          <w:r>
            <w:rPr>
              <w:rStyle w:val="18"/>
            </w:rPr>
            <w:t>1</w:t>
          </w:r>
          <w:r>
            <w:fldChar w:fldCharType="end"/>
          </w:r>
          <w:r>
            <w:rPr>
              <w:rStyle w:val="18"/>
              <w:rFonts w:hint="eastAsia"/>
            </w:rPr>
            <w:t>页共 3 页</w:t>
          </w:r>
        </w:p>
      </w:tc>
    </w:tr>
  </w:tbl>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9180" w:type="dxa"/>
      <w:tblInd w:w="-252" w:type="dxa"/>
      <w:tblBorders>
        <w:top w:val="none" w:color="auto" w:sz="0" w:space="0"/>
        <w:left w:val="none" w:color="auto" w:sz="0" w:space="0"/>
        <w:bottom w:val="thickThinSmallGap"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80"/>
    </w:tblGrid>
    <w:tr>
      <w:tblPrEx>
        <w:tblBorders>
          <w:top w:val="none" w:color="auto" w:sz="0" w:space="0"/>
          <w:left w:val="none" w:color="auto" w:sz="0" w:space="0"/>
          <w:bottom w:val="thickThinSmallGap"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7" w:hRule="atLeast"/>
      </w:trPr>
      <w:tc>
        <w:tcPr>
          <w:tcW w:w="9180" w:type="dxa"/>
          <w:vAlign w:val="center"/>
        </w:tcPr>
        <w:p>
          <w:pPr>
            <w:pStyle w:val="11"/>
            <w:pBdr>
              <w:bottom w:val="none" w:color="auto" w:sz="0" w:space="0"/>
            </w:pBdr>
            <w:ind w:firstLine="1" w:firstLineChars="1"/>
            <w:jc w:val="both"/>
          </w:pPr>
          <w:r>
            <w:pict>
              <v:shape id="Text Box 7" o:spid="_x0000_s2050" o:spt="202" type="#_x0000_t202" style="position:absolute;left:0pt;margin-left:356.3pt;margin-top:0.7pt;height:33.25pt;width:72pt;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">
                <v:path/>
                <v:fill on="f" focussize="0,0"/>
                <v:stroke on="f" joinstyle="miter"/>
                <v:imagedata o:title=""/>
                <o:lock v:ext="edit"/>
                <v:textbox inset="0mm,0mm,0mm,0mm">
                  <w:txbxContent>
                    <w:p>
                      <w:pPr>
                        <w:jc w:val="center"/>
                        <w:rPr>
                          <w:rFonts w:ascii="黑体" w:eastAsia="黑体"/>
                          <w:sz w:val="8"/>
                        </w:rPr>
                      </w:pPr>
                      <w:r>
                        <w:rPr>
                          <w:rFonts w:hint="eastAsia" w:ascii="黑体" w:eastAsia="黑体"/>
                          <w:sz w:val="8"/>
                        </w:rPr>
                        <w:t>CQM是国际认证联盟的成员</w:t>
                      </w:r>
                    </w:p>
                    <w:p>
                      <w:pPr>
                        <w:jc w:val="center"/>
                        <w:rPr>
                          <w:rFonts w:ascii="黑体" w:eastAsia="黑体"/>
                          <w:sz w:val="10"/>
                        </w:rPr>
                      </w:pPr>
                      <w:r>
                        <w:rPr>
                          <w:rFonts w:hint="eastAsia" w:ascii="黑体" w:eastAsia="黑体"/>
                          <w:sz w:val="10"/>
                        </w:rPr>
                        <w:drawing>
                          <wp:inline distT="0" distB="0" distL="0" distR="0">
                            <wp:extent cx="904875" cy="266700"/>
                            <wp:effectExtent l="19050" t="0" r="9525" b="0"/>
                            <wp:docPr id="1" name="图片 2" descr="IQNet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QNet logo colour"/>
                                    <pic:cNvPicPr>
                                      <a:picLocks noChangeAspect="1" noChangeArrowheads="1"/>
                                    </pic:cNvPicPr>
                                  </pic:nvPicPr>
                                  <pic:blipFill>
                                    <a:blip r:embed="rId1"/>
                                    <a:srcRect/>
                                    <a:stretch>
                                      <a:fillRect/>
                                    </a:stretch>
                                  </pic:blipFill>
                                  <pic:spPr>
                                    <a:xfrm>
                                      <a:off x="0" y="0"/>
                                      <a:ext cx="904875" cy="266700"/>
                                    </a:xfrm>
                                    <a:prstGeom prst="rect">
                                      <a:avLst/>
                                    </a:prstGeom>
                                    <a:noFill/>
                                    <a:ln w="9525">
                                      <a:noFill/>
                                      <a:miter lim="800000"/>
                                      <a:headEnd/>
                                      <a:tailEnd/>
                                    </a:ln>
                                  </pic:spPr>
                                </pic:pic>
                              </a:graphicData>
                            </a:graphic>
                          </wp:inline>
                        </w:drawing>
                      </w:r>
                    </w:p>
                  </w:txbxContent>
                </v:textbox>
              </v:shape>
            </w:pict>
          </w:r>
          <w:r>
            <w:drawing>
              <wp:inline distT="0" distB="0" distL="0" distR="0">
                <wp:extent cx="2552700" cy="411480"/>
                <wp:effectExtent l="19050" t="0" r="0" b="0"/>
                <wp:docPr id="26" name="图片 0" descr="方圆标志全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0" descr="方圆标志全称.jpg"/>
                        <pic:cNvPicPr>
                          <a:picLocks noChangeAspect="1" noChangeArrowheads="1"/>
                        </pic:cNvPicPr>
                      </pic:nvPicPr>
                      <pic:blipFill>
                        <a:blip r:embed="rId2"/>
                        <a:srcRect/>
                        <a:stretch>
                          <a:fillRect/>
                        </a:stretch>
                      </pic:blipFill>
                      <pic:spPr>
                        <a:xfrm>
                          <a:off x="0" y="0"/>
                          <a:ext cx="2552700" cy="411480"/>
                        </a:xfrm>
                        <a:prstGeom prst="rect">
                          <a:avLst/>
                        </a:prstGeom>
                        <a:noFill/>
                        <a:ln w="9525">
                          <a:noFill/>
                          <a:miter lim="800000"/>
                          <a:headEnd/>
                          <a:tailEnd/>
                        </a:ln>
                      </pic:spPr>
                    </pic:pic>
                  </a:graphicData>
                </a:graphic>
              </wp:inline>
            </w:drawing>
          </w:r>
        </w:p>
      </w:tc>
    </w:tr>
  </w:tbl>
  <w:p>
    <w:pPr>
      <w:jc w:val="left"/>
      <w:rPr>
        <w:sz w:val="10"/>
      </w:rPr>
    </w:pPr>
    <w:r>
      <w:pict>
        <v:shape id="WordPictureWatermark2731844" o:spid="_x0000_s2049" o:spt="75" type="#_x0000_t75" style="position:absolute;left:0pt;height:403.05pt;width:415.4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3" gain="19661f" blacklevel="22938f" o:title="方圆标志"/>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WordPictureWatermark2731843" o:spid="_x0000_s2051" o:spt="75" type="#_x0000_t75" style="position:absolute;left:0pt;height:403.05pt;width:415.4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方圆标志"/>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481E4C"/>
    <w:rsid w:val="00017CA0"/>
    <w:rsid w:val="0006018F"/>
    <w:rsid w:val="00091D8F"/>
    <w:rsid w:val="000926C7"/>
    <w:rsid w:val="000B0E7F"/>
    <w:rsid w:val="000B33AA"/>
    <w:rsid w:val="000B3BA8"/>
    <w:rsid w:val="000B7C9E"/>
    <w:rsid w:val="000C5C99"/>
    <w:rsid w:val="000D5A9C"/>
    <w:rsid w:val="000F081B"/>
    <w:rsid w:val="001245A5"/>
    <w:rsid w:val="001262F2"/>
    <w:rsid w:val="00150F02"/>
    <w:rsid w:val="00153503"/>
    <w:rsid w:val="00176E56"/>
    <w:rsid w:val="00182940"/>
    <w:rsid w:val="001E3801"/>
    <w:rsid w:val="001F2B4B"/>
    <w:rsid w:val="001F385B"/>
    <w:rsid w:val="0021299C"/>
    <w:rsid w:val="002272B5"/>
    <w:rsid w:val="0023742C"/>
    <w:rsid w:val="00240647"/>
    <w:rsid w:val="00253F1F"/>
    <w:rsid w:val="00263C8A"/>
    <w:rsid w:val="002721E0"/>
    <w:rsid w:val="00284E8E"/>
    <w:rsid w:val="002B1B66"/>
    <w:rsid w:val="002C4E47"/>
    <w:rsid w:val="00315F19"/>
    <w:rsid w:val="003473AE"/>
    <w:rsid w:val="003B3E82"/>
    <w:rsid w:val="003C662A"/>
    <w:rsid w:val="00437524"/>
    <w:rsid w:val="00445035"/>
    <w:rsid w:val="0046035F"/>
    <w:rsid w:val="004624CC"/>
    <w:rsid w:val="00480345"/>
    <w:rsid w:val="00481E4C"/>
    <w:rsid w:val="00482057"/>
    <w:rsid w:val="00492369"/>
    <w:rsid w:val="00495166"/>
    <w:rsid w:val="004B4E23"/>
    <w:rsid w:val="004E5AC4"/>
    <w:rsid w:val="004F74EA"/>
    <w:rsid w:val="00521C5E"/>
    <w:rsid w:val="0052780F"/>
    <w:rsid w:val="00546F80"/>
    <w:rsid w:val="00584C79"/>
    <w:rsid w:val="005B202F"/>
    <w:rsid w:val="005C16C8"/>
    <w:rsid w:val="005C6041"/>
    <w:rsid w:val="005F5374"/>
    <w:rsid w:val="00610324"/>
    <w:rsid w:val="00611E58"/>
    <w:rsid w:val="00626033"/>
    <w:rsid w:val="00630618"/>
    <w:rsid w:val="00635147"/>
    <w:rsid w:val="00656CBD"/>
    <w:rsid w:val="00657A5E"/>
    <w:rsid w:val="006640E0"/>
    <w:rsid w:val="00667D80"/>
    <w:rsid w:val="006727C3"/>
    <w:rsid w:val="006945AD"/>
    <w:rsid w:val="006F0EF2"/>
    <w:rsid w:val="00702703"/>
    <w:rsid w:val="0070496A"/>
    <w:rsid w:val="00745C44"/>
    <w:rsid w:val="00747D24"/>
    <w:rsid w:val="007A2516"/>
    <w:rsid w:val="007B245C"/>
    <w:rsid w:val="007B7F02"/>
    <w:rsid w:val="008032AD"/>
    <w:rsid w:val="00832F0E"/>
    <w:rsid w:val="00847F78"/>
    <w:rsid w:val="00853254"/>
    <w:rsid w:val="0087435F"/>
    <w:rsid w:val="008D1B4B"/>
    <w:rsid w:val="008D3F7A"/>
    <w:rsid w:val="008F5520"/>
    <w:rsid w:val="00925DA2"/>
    <w:rsid w:val="00931015"/>
    <w:rsid w:val="00934B2F"/>
    <w:rsid w:val="009511A3"/>
    <w:rsid w:val="00960BE5"/>
    <w:rsid w:val="0097697B"/>
    <w:rsid w:val="009916F6"/>
    <w:rsid w:val="00994F8A"/>
    <w:rsid w:val="009A53A0"/>
    <w:rsid w:val="009B619D"/>
    <w:rsid w:val="009F654D"/>
    <w:rsid w:val="00A02378"/>
    <w:rsid w:val="00A03108"/>
    <w:rsid w:val="00A27B3D"/>
    <w:rsid w:val="00A30B31"/>
    <w:rsid w:val="00A3571C"/>
    <w:rsid w:val="00A363AA"/>
    <w:rsid w:val="00A40870"/>
    <w:rsid w:val="00A46CA4"/>
    <w:rsid w:val="00A53AA2"/>
    <w:rsid w:val="00A8196F"/>
    <w:rsid w:val="00A95D98"/>
    <w:rsid w:val="00AA73C6"/>
    <w:rsid w:val="00AB52D6"/>
    <w:rsid w:val="00AD0A34"/>
    <w:rsid w:val="00AD39B2"/>
    <w:rsid w:val="00AD3C44"/>
    <w:rsid w:val="00AF58D6"/>
    <w:rsid w:val="00B305B7"/>
    <w:rsid w:val="00B40DCF"/>
    <w:rsid w:val="00B51CDD"/>
    <w:rsid w:val="00B52217"/>
    <w:rsid w:val="00B527F6"/>
    <w:rsid w:val="00B625A1"/>
    <w:rsid w:val="00B73819"/>
    <w:rsid w:val="00B84608"/>
    <w:rsid w:val="00B87033"/>
    <w:rsid w:val="00B90896"/>
    <w:rsid w:val="00BA0C40"/>
    <w:rsid w:val="00BB0049"/>
    <w:rsid w:val="00C22C88"/>
    <w:rsid w:val="00C23522"/>
    <w:rsid w:val="00C35188"/>
    <w:rsid w:val="00C47426"/>
    <w:rsid w:val="00C63288"/>
    <w:rsid w:val="00C76CAD"/>
    <w:rsid w:val="00C865E0"/>
    <w:rsid w:val="00CA657E"/>
    <w:rsid w:val="00CD0195"/>
    <w:rsid w:val="00CD5493"/>
    <w:rsid w:val="00D47EC7"/>
    <w:rsid w:val="00DA7EC1"/>
    <w:rsid w:val="00DB4B2B"/>
    <w:rsid w:val="00DB667D"/>
    <w:rsid w:val="00DD53BF"/>
    <w:rsid w:val="00DD7733"/>
    <w:rsid w:val="00E505AD"/>
    <w:rsid w:val="00E55463"/>
    <w:rsid w:val="00E70013"/>
    <w:rsid w:val="00E95424"/>
    <w:rsid w:val="00E96731"/>
    <w:rsid w:val="00EB77CA"/>
    <w:rsid w:val="00F364E1"/>
    <w:rsid w:val="00F662A7"/>
    <w:rsid w:val="00F70E72"/>
    <w:rsid w:val="00F9145F"/>
    <w:rsid w:val="00FA15E4"/>
    <w:rsid w:val="00FA2D7F"/>
    <w:rsid w:val="00FB09A9"/>
    <w:rsid w:val="00FC60A5"/>
    <w:rsid w:val="00FD044A"/>
    <w:rsid w:val="00FE44F4"/>
    <w:rsid w:val="22B840C7"/>
    <w:rsid w:val="366046FA"/>
    <w:rsid w:val="55016749"/>
    <w:rsid w:val="571A327F"/>
    <w:rsid w:val="6BFA7CAA"/>
    <w:rsid w:val="6D8B4321"/>
    <w:rsid w:val="7BE430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0"/>
    <w:pPr>
      <w:keepNext/>
      <w:keepLines/>
      <w:spacing w:line="360" w:lineRule="auto"/>
      <w:outlineLvl w:val="0"/>
    </w:pPr>
    <w:rPr>
      <w:b/>
      <w:bCs/>
      <w:kern w:val="44"/>
      <w:sz w:val="24"/>
      <w:szCs w:val="44"/>
    </w:rPr>
  </w:style>
  <w:style w:type="paragraph" w:styleId="3">
    <w:name w:val="heading 2"/>
    <w:basedOn w:val="1"/>
    <w:next w:val="1"/>
    <w:link w:val="31"/>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semiHidden/>
    <w:unhideWhenUsed/>
    <w:qFormat/>
    <w:uiPriority w:val="0"/>
    <w:pPr>
      <w:keepNext/>
      <w:keepLines/>
      <w:spacing w:before="260" w:after="260" w:line="416" w:lineRule="auto"/>
      <w:outlineLvl w:val="2"/>
    </w:pPr>
    <w:rPr>
      <w:b/>
      <w:bCs/>
      <w:sz w:val="32"/>
      <w:szCs w:val="32"/>
    </w:rPr>
  </w:style>
  <w:style w:type="paragraph" w:styleId="5">
    <w:name w:val="heading 5"/>
    <w:basedOn w:val="1"/>
    <w:next w:val="1"/>
    <w:qFormat/>
    <w:uiPriority w:val="0"/>
    <w:pPr>
      <w:spacing w:line="360" w:lineRule="auto"/>
      <w:outlineLvl w:val="4"/>
    </w:pPr>
    <w:rPr>
      <w:b/>
      <w:sz w:val="24"/>
    </w:rPr>
  </w:style>
  <w:style w:type="character" w:default="1" w:styleId="17">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7"/>
    <w:qFormat/>
    <w:uiPriority w:val="0"/>
    <w:pPr>
      <w:jc w:val="left"/>
    </w:pPr>
  </w:style>
  <w:style w:type="paragraph" w:styleId="7">
    <w:name w:val="Body Text Indent"/>
    <w:basedOn w:val="1"/>
    <w:link w:val="26"/>
    <w:qFormat/>
    <w:uiPriority w:val="0"/>
    <w:pPr>
      <w:widowControl/>
      <w:ind w:firstLine="560" w:firstLineChars="200"/>
      <w:jc w:val="left"/>
    </w:pPr>
    <w:rPr>
      <w:rFonts w:ascii="宋体" w:hAnsi="宋体"/>
      <w:color w:val="000000"/>
      <w:sz w:val="28"/>
      <w:szCs w:val="33"/>
    </w:rPr>
  </w:style>
  <w:style w:type="paragraph" w:styleId="8">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9">
    <w:name w:val="Balloon Text"/>
    <w:basedOn w:val="1"/>
    <w:link w:val="22"/>
    <w:qFormat/>
    <w:uiPriority w:val="0"/>
    <w:rPr>
      <w:sz w:val="18"/>
      <w:szCs w:val="18"/>
    </w:rPr>
  </w:style>
  <w:style w:type="paragraph" w:styleId="10">
    <w:name w:val="footer"/>
    <w:basedOn w:val="1"/>
    <w:uiPriority w:val="0"/>
    <w:pPr>
      <w:tabs>
        <w:tab w:val="center" w:pos="4153"/>
        <w:tab w:val="right" w:pos="8306"/>
      </w:tabs>
      <w:snapToGrid w:val="0"/>
      <w:jc w:val="left"/>
    </w:pPr>
    <w:rPr>
      <w:sz w:val="18"/>
      <w:szCs w:val="18"/>
    </w:rPr>
  </w:style>
  <w:style w:type="paragraph" w:styleId="11">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13">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4">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5">
    <w:name w:val="annotation subject"/>
    <w:basedOn w:val="6"/>
    <w:next w:val="6"/>
    <w:link w:val="30"/>
    <w:qFormat/>
    <w:uiPriority w:val="0"/>
    <w:rPr>
      <w:b/>
      <w:bCs/>
    </w:rPr>
  </w:style>
  <w:style w:type="character" w:styleId="18">
    <w:name w:val="page number"/>
    <w:basedOn w:val="17"/>
    <w:uiPriority w:val="0"/>
  </w:style>
  <w:style w:type="character" w:styleId="19">
    <w:name w:val="FollowedHyperlink"/>
    <w:basedOn w:val="17"/>
    <w:uiPriority w:val="0"/>
    <w:rPr>
      <w:color w:val="800080" w:themeColor="followedHyperlink"/>
      <w:u w:val="single"/>
    </w:rPr>
  </w:style>
  <w:style w:type="character" w:styleId="20">
    <w:name w:val="Hyperlink"/>
    <w:basedOn w:val="17"/>
    <w:uiPriority w:val="99"/>
    <w:rPr>
      <w:color w:val="0000FF"/>
      <w:u w:val="single"/>
    </w:rPr>
  </w:style>
  <w:style w:type="character" w:styleId="21">
    <w:name w:val="annotation reference"/>
    <w:basedOn w:val="17"/>
    <w:uiPriority w:val="0"/>
    <w:rPr>
      <w:sz w:val="21"/>
      <w:szCs w:val="21"/>
    </w:rPr>
  </w:style>
  <w:style w:type="character" w:customStyle="1" w:styleId="22">
    <w:name w:val="批注框文本 Char"/>
    <w:basedOn w:val="17"/>
    <w:link w:val="9"/>
    <w:qFormat/>
    <w:uiPriority w:val="0"/>
    <w:rPr>
      <w:kern w:val="2"/>
      <w:sz w:val="18"/>
      <w:szCs w:val="18"/>
    </w:rPr>
  </w:style>
  <w:style w:type="character" w:customStyle="1" w:styleId="23">
    <w:name w:val="标题 1 Char"/>
    <w:basedOn w:val="17"/>
    <w:link w:val="2"/>
    <w:uiPriority w:val="0"/>
    <w:rPr>
      <w:b/>
      <w:bCs/>
      <w:kern w:val="44"/>
      <w:sz w:val="24"/>
      <w:szCs w:val="44"/>
    </w:rPr>
  </w:style>
  <w:style w:type="paragraph" w:customStyle="1" w:styleId="24">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5">
    <w:name w:val="标题 Char"/>
    <w:basedOn w:val="17"/>
    <w:link w:val="14"/>
    <w:qFormat/>
    <w:uiPriority w:val="0"/>
    <w:rPr>
      <w:rFonts w:asciiTheme="majorHAnsi" w:hAnsiTheme="majorHAnsi" w:cstheme="majorBidi"/>
      <w:b/>
      <w:bCs/>
      <w:kern w:val="2"/>
      <w:sz w:val="32"/>
      <w:szCs w:val="32"/>
    </w:rPr>
  </w:style>
  <w:style w:type="character" w:customStyle="1" w:styleId="26">
    <w:name w:val="正文文本缩进 Char"/>
    <w:basedOn w:val="17"/>
    <w:link w:val="7"/>
    <w:qFormat/>
    <w:uiPriority w:val="0"/>
    <w:rPr>
      <w:rFonts w:ascii="宋体" w:hAnsi="宋体"/>
      <w:color w:val="000000"/>
      <w:kern w:val="2"/>
      <w:sz w:val="28"/>
      <w:szCs w:val="33"/>
    </w:rPr>
  </w:style>
  <w:style w:type="character" w:customStyle="1" w:styleId="27">
    <w:name w:val="批注文字 Char"/>
    <w:basedOn w:val="17"/>
    <w:link w:val="6"/>
    <w:qFormat/>
    <w:uiPriority w:val="0"/>
    <w:rPr>
      <w:kern w:val="2"/>
      <w:sz w:val="21"/>
      <w:szCs w:val="24"/>
    </w:rPr>
  </w:style>
  <w:style w:type="paragraph" w:customStyle="1" w:styleId="28">
    <w:name w:val="修订1"/>
    <w:hidden/>
    <w:semiHidden/>
    <w:uiPriority w:val="99"/>
    <w:rPr>
      <w:rFonts w:ascii="Times New Roman" w:hAnsi="Times New Roman" w:eastAsia="宋体" w:cs="Times New Roman"/>
      <w:kern w:val="2"/>
      <w:sz w:val="21"/>
      <w:szCs w:val="24"/>
      <w:lang w:val="en-US" w:eastAsia="zh-CN" w:bidi="ar-SA"/>
    </w:rPr>
  </w:style>
  <w:style w:type="paragraph" w:styleId="29">
    <w:name w:val="List Paragraph"/>
    <w:basedOn w:val="1"/>
    <w:qFormat/>
    <w:uiPriority w:val="34"/>
    <w:pPr>
      <w:ind w:firstLine="420" w:firstLineChars="200"/>
    </w:pPr>
  </w:style>
  <w:style w:type="character" w:customStyle="1" w:styleId="30">
    <w:name w:val="批注主题 Char"/>
    <w:basedOn w:val="27"/>
    <w:link w:val="15"/>
    <w:qFormat/>
    <w:uiPriority w:val="0"/>
    <w:rPr>
      <w:b/>
      <w:bCs/>
      <w:kern w:val="2"/>
      <w:sz w:val="21"/>
      <w:szCs w:val="24"/>
    </w:rPr>
  </w:style>
  <w:style w:type="character" w:customStyle="1" w:styleId="31">
    <w:name w:val="标题 2 Char"/>
    <w:basedOn w:val="17"/>
    <w:link w:val="3"/>
    <w:semiHidden/>
    <w:qFormat/>
    <w:uiPriority w:val="0"/>
    <w:rPr>
      <w:rFonts w:asciiTheme="majorHAnsi" w:hAnsiTheme="majorHAnsi" w:eastAsiaTheme="majorEastAsia" w:cstheme="majorBidi"/>
      <w:b/>
      <w:bCs/>
      <w:kern w:val="2"/>
      <w:sz w:val="32"/>
      <w:szCs w:val="32"/>
    </w:rPr>
  </w:style>
  <w:style w:type="character" w:customStyle="1" w:styleId="32">
    <w:name w:val="标题 3 Char"/>
    <w:basedOn w:val="17"/>
    <w:link w:val="4"/>
    <w:semiHidden/>
    <w:qFormat/>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jf\Desktop\&#25991;&#20214;&#27169;&#26495;&#35774;&#32622;\&#38468;&#20214;1%20%20&#20844;&#24320;&#25991;&#20214;&#27169;&#2925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2051"/>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F35735-48B6-43C4-90D2-5004454C347C}">
  <ds:schemaRefs/>
</ds:datastoreItem>
</file>

<file path=docProps/app.xml><?xml version="1.0" encoding="utf-8"?>
<Properties xmlns="http://schemas.openxmlformats.org/officeDocument/2006/extended-properties" xmlns:vt="http://schemas.openxmlformats.org/officeDocument/2006/docPropsVTypes">
  <Template>附件1  公开文件模版</Template>
  <Company>fy</Company>
  <Pages>4</Pages>
  <Words>208</Words>
  <Characters>1191</Characters>
  <Lines>9</Lines>
  <Paragraphs>2</Paragraphs>
  <TotalTime>1</TotalTime>
  <ScaleCrop>false</ScaleCrop>
  <LinksUpToDate>false</LinksUpToDate>
  <CharactersWithSpaces>1397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2021-05-20T07:03:00Z</dcterms:created>
  <dc:creator>cqm</dc:creator>
  <cp:lastModifiedBy>小明</cp:lastModifiedBy>
  <dcterms:modified xsi:type="dcterms:W3CDTF">2021-06-02T05:32:14Z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5BF48B3AA3A14F4DB532DA4E234C6233</vt:lpwstr>
  </property>
</Properties>
</file>